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5D770" w14:textId="7BE328C2" w:rsidR="00DD60D2" w:rsidRPr="0073697B" w:rsidRDefault="0056173F" w:rsidP="00D97EBE">
      <w:pPr>
        <w:tabs>
          <w:tab w:val="right" w:pos="9360"/>
        </w:tabs>
        <w:spacing w:after="0" w:line="240" w:lineRule="auto"/>
        <w:jc w:val="both"/>
        <w:rPr>
          <w:rFonts w:ascii="Garamond" w:hAnsi="Garamond"/>
          <w:b/>
          <w:sz w:val="24"/>
          <w:szCs w:val="24"/>
        </w:rPr>
      </w:pPr>
      <w:r>
        <w:rPr>
          <w:rFonts w:ascii="Garamond" w:hAnsi="Garamond"/>
          <w:b/>
          <w:sz w:val="24"/>
          <w:szCs w:val="24"/>
        </w:rPr>
        <w:t>University of Delaware</w:t>
      </w:r>
      <w:r w:rsidR="004A77D4" w:rsidRPr="0073697B">
        <w:rPr>
          <w:rFonts w:ascii="Garamond" w:hAnsi="Garamond"/>
          <w:b/>
          <w:sz w:val="24"/>
          <w:szCs w:val="24"/>
        </w:rPr>
        <w:tab/>
      </w:r>
      <w:r>
        <w:rPr>
          <w:rFonts w:ascii="Garamond" w:hAnsi="Garamond"/>
          <w:b/>
          <w:sz w:val="24"/>
          <w:szCs w:val="24"/>
        </w:rPr>
        <w:t>School of Education</w:t>
      </w:r>
    </w:p>
    <w:p w14:paraId="4896B715" w14:textId="52D4A554" w:rsidR="004A77D4" w:rsidRPr="0073697B" w:rsidRDefault="0056173F" w:rsidP="00D97EBE">
      <w:pPr>
        <w:shd w:val="clear" w:color="auto" w:fill="FFFFFF"/>
        <w:tabs>
          <w:tab w:val="right" w:pos="9360"/>
        </w:tabs>
        <w:spacing w:after="0" w:line="240" w:lineRule="auto"/>
        <w:jc w:val="both"/>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EDUC</w:t>
      </w:r>
      <w:r w:rsidR="007451A8" w:rsidRPr="0073697B">
        <w:rPr>
          <w:rFonts w:ascii="Garamond" w:eastAsia="Times New Roman" w:hAnsi="Garamond" w:cs="Times New Roman"/>
          <w:b/>
          <w:color w:val="000000"/>
          <w:sz w:val="24"/>
          <w:szCs w:val="24"/>
        </w:rPr>
        <w:t xml:space="preserve"> </w:t>
      </w:r>
      <w:r>
        <w:rPr>
          <w:rFonts w:ascii="Garamond" w:eastAsia="Times New Roman" w:hAnsi="Garamond" w:cs="Times New Roman"/>
          <w:b/>
          <w:color w:val="000000"/>
          <w:sz w:val="24"/>
          <w:szCs w:val="24"/>
        </w:rPr>
        <w:t>884</w:t>
      </w:r>
      <w:r w:rsidR="007451A8" w:rsidRPr="0073697B">
        <w:rPr>
          <w:rFonts w:ascii="Garamond" w:eastAsia="Times New Roman" w:hAnsi="Garamond" w:cs="Times New Roman"/>
          <w:b/>
          <w:color w:val="000000"/>
          <w:sz w:val="24"/>
          <w:szCs w:val="24"/>
        </w:rPr>
        <w:t xml:space="preserve">: </w:t>
      </w:r>
      <w:r>
        <w:rPr>
          <w:rFonts w:ascii="Garamond" w:eastAsia="Times New Roman" w:hAnsi="Garamond" w:cs="Times New Roman"/>
          <w:b/>
          <w:color w:val="000000"/>
          <w:sz w:val="24"/>
          <w:szCs w:val="24"/>
        </w:rPr>
        <w:t>Advanced Research Design</w:t>
      </w:r>
      <w:r w:rsidR="004A77D4" w:rsidRPr="0073697B">
        <w:rPr>
          <w:rFonts w:ascii="Garamond" w:eastAsia="Times New Roman" w:hAnsi="Garamond" w:cs="Times New Roman"/>
          <w:b/>
          <w:color w:val="000000"/>
          <w:sz w:val="24"/>
          <w:szCs w:val="24"/>
        </w:rPr>
        <w:tab/>
      </w:r>
      <w:r>
        <w:rPr>
          <w:rFonts w:ascii="Garamond" w:eastAsia="Times New Roman" w:hAnsi="Garamond" w:cs="Times New Roman"/>
          <w:b/>
          <w:color w:val="000000"/>
          <w:sz w:val="24"/>
          <w:szCs w:val="24"/>
        </w:rPr>
        <w:t>Spring 202</w:t>
      </w:r>
      <w:r w:rsidR="009E26F4">
        <w:rPr>
          <w:rFonts w:ascii="Garamond" w:eastAsia="Times New Roman" w:hAnsi="Garamond" w:cs="Times New Roman"/>
          <w:b/>
          <w:color w:val="000000"/>
          <w:sz w:val="24"/>
          <w:szCs w:val="24"/>
        </w:rPr>
        <w:t>4</w:t>
      </w:r>
      <w:r w:rsidR="004A77D4" w:rsidRPr="0073697B">
        <w:rPr>
          <w:rFonts w:ascii="Garamond" w:eastAsia="Times New Roman" w:hAnsi="Garamond" w:cs="Times New Roman"/>
          <w:b/>
          <w:color w:val="000000"/>
          <w:sz w:val="24"/>
          <w:szCs w:val="24"/>
        </w:rPr>
        <w:t xml:space="preserve"> </w:t>
      </w:r>
    </w:p>
    <w:p w14:paraId="58FA80D6" w14:textId="77777777" w:rsidR="004A77D4" w:rsidRPr="0073697B" w:rsidRDefault="004A77D4" w:rsidP="00D97EBE">
      <w:pPr>
        <w:shd w:val="clear" w:color="auto" w:fill="FFFFFF"/>
        <w:tabs>
          <w:tab w:val="right" w:pos="9360"/>
        </w:tabs>
        <w:spacing w:after="0" w:line="240" w:lineRule="auto"/>
        <w:jc w:val="both"/>
        <w:rPr>
          <w:rFonts w:ascii="Garamond" w:eastAsia="Times New Roman" w:hAnsi="Garamond" w:cs="Times New Roman"/>
          <w:b/>
          <w:color w:val="000000"/>
          <w:sz w:val="24"/>
          <w:szCs w:val="24"/>
        </w:rPr>
      </w:pPr>
    </w:p>
    <w:p w14:paraId="1D2D7446" w14:textId="77777777" w:rsidR="004A77D4" w:rsidRPr="0073697B" w:rsidRDefault="004A77D4" w:rsidP="00C97EF6">
      <w:pPr>
        <w:shd w:val="clear" w:color="auto" w:fill="FFFFFF"/>
        <w:spacing w:after="0" w:line="240" w:lineRule="auto"/>
        <w:jc w:val="both"/>
        <w:rPr>
          <w:rFonts w:ascii="Garamond" w:eastAsia="Times New Roman" w:hAnsi="Garamond" w:cs="Times New Roman"/>
          <w:color w:val="000000"/>
          <w:sz w:val="24"/>
          <w:szCs w:val="24"/>
        </w:rPr>
      </w:pPr>
      <w:r w:rsidRPr="0073697B">
        <w:rPr>
          <w:rFonts w:ascii="Garamond" w:eastAsia="Times New Roman" w:hAnsi="Garamond" w:cs="Times New Roman"/>
          <w:b/>
          <w:color w:val="000000"/>
          <w:sz w:val="24"/>
          <w:szCs w:val="24"/>
        </w:rPr>
        <w:t xml:space="preserve">Instructor: </w:t>
      </w:r>
      <w:r w:rsidRPr="0073697B">
        <w:rPr>
          <w:rFonts w:ascii="Garamond" w:eastAsia="Times New Roman" w:hAnsi="Garamond" w:cs="Times New Roman"/>
          <w:b/>
          <w:color w:val="000000"/>
          <w:sz w:val="24"/>
          <w:szCs w:val="24"/>
        </w:rPr>
        <w:tab/>
      </w:r>
      <w:r w:rsidRPr="0073697B">
        <w:rPr>
          <w:rFonts w:ascii="Garamond" w:eastAsia="Times New Roman" w:hAnsi="Garamond" w:cs="Times New Roman"/>
          <w:color w:val="000000"/>
          <w:sz w:val="24"/>
          <w:szCs w:val="24"/>
        </w:rPr>
        <w:t>Kenneth Shores</w:t>
      </w:r>
    </w:p>
    <w:p w14:paraId="73D275CC" w14:textId="79672BCD" w:rsidR="004A77D4" w:rsidRPr="0004613D" w:rsidRDefault="004A77D4" w:rsidP="00C97EF6">
      <w:pPr>
        <w:shd w:val="clear" w:color="auto" w:fill="FFFFFF"/>
        <w:spacing w:after="0" w:line="240" w:lineRule="auto"/>
        <w:jc w:val="both"/>
        <w:rPr>
          <w:rFonts w:ascii="Garamond" w:eastAsia="Times New Roman" w:hAnsi="Garamond" w:cs="Times New Roman"/>
          <w:color w:val="000000"/>
          <w:sz w:val="24"/>
          <w:szCs w:val="24"/>
        </w:rPr>
      </w:pPr>
      <w:r w:rsidRPr="0073697B">
        <w:rPr>
          <w:rFonts w:ascii="Garamond" w:eastAsia="Times New Roman" w:hAnsi="Garamond" w:cs="Times New Roman"/>
          <w:color w:val="000000"/>
          <w:sz w:val="24"/>
          <w:szCs w:val="24"/>
        </w:rPr>
        <w:tab/>
      </w:r>
      <w:r w:rsidRPr="0073697B">
        <w:rPr>
          <w:rFonts w:ascii="Garamond" w:eastAsia="Times New Roman" w:hAnsi="Garamond" w:cs="Times New Roman"/>
          <w:color w:val="000000"/>
          <w:sz w:val="24"/>
          <w:szCs w:val="24"/>
        </w:rPr>
        <w:tab/>
      </w:r>
      <w:hyperlink r:id="rId5" w:history="1">
        <w:r w:rsidR="0056173F" w:rsidRPr="0004613D">
          <w:rPr>
            <w:rStyle w:val="Hyperlink"/>
            <w:rFonts w:ascii="Garamond" w:eastAsia="Times New Roman" w:hAnsi="Garamond" w:cs="Times New Roman"/>
            <w:sz w:val="24"/>
            <w:szCs w:val="24"/>
          </w:rPr>
          <w:t>kshores@udel.edu</w:t>
        </w:r>
      </w:hyperlink>
    </w:p>
    <w:p w14:paraId="440E65CF" w14:textId="77777777" w:rsidR="004A77D4" w:rsidRPr="0004613D" w:rsidRDefault="004A77D4" w:rsidP="00C97EF6">
      <w:pPr>
        <w:shd w:val="clear" w:color="auto" w:fill="FFFFFF"/>
        <w:spacing w:after="0" w:line="240" w:lineRule="auto"/>
        <w:jc w:val="both"/>
        <w:rPr>
          <w:rFonts w:ascii="Garamond" w:eastAsia="Times New Roman" w:hAnsi="Garamond" w:cs="Times New Roman"/>
          <w:color w:val="000000"/>
          <w:sz w:val="24"/>
          <w:szCs w:val="24"/>
        </w:rPr>
      </w:pPr>
    </w:p>
    <w:p w14:paraId="77647E5A" w14:textId="39BC69A4" w:rsidR="004A77D4" w:rsidRPr="0004613D" w:rsidRDefault="004A77D4" w:rsidP="00C97EF6">
      <w:pPr>
        <w:shd w:val="clear" w:color="auto" w:fill="FFFFFF"/>
        <w:spacing w:after="0" w:line="240" w:lineRule="auto"/>
        <w:jc w:val="both"/>
        <w:rPr>
          <w:rFonts w:ascii="Garamond" w:eastAsia="Times New Roman" w:hAnsi="Garamond" w:cs="Times New Roman"/>
          <w:color w:val="000000"/>
          <w:sz w:val="24"/>
          <w:szCs w:val="24"/>
        </w:rPr>
      </w:pPr>
      <w:r w:rsidRPr="0004613D">
        <w:rPr>
          <w:rFonts w:ascii="Garamond" w:eastAsia="Times New Roman" w:hAnsi="Garamond" w:cs="Times New Roman"/>
          <w:color w:val="000000"/>
          <w:sz w:val="24"/>
          <w:szCs w:val="24"/>
        </w:rPr>
        <w:tab/>
      </w:r>
      <w:r w:rsidRPr="0004613D">
        <w:rPr>
          <w:rFonts w:ascii="Garamond" w:eastAsia="Times New Roman" w:hAnsi="Garamond" w:cs="Times New Roman"/>
          <w:color w:val="000000"/>
          <w:sz w:val="24"/>
          <w:szCs w:val="24"/>
        </w:rPr>
        <w:tab/>
        <w:t xml:space="preserve">Course location: </w:t>
      </w:r>
      <w:r w:rsidR="00CF04E0" w:rsidRPr="0004613D">
        <w:rPr>
          <w:rFonts w:ascii="Garamond" w:eastAsia="Times New Roman" w:hAnsi="Garamond" w:cs="Times New Roman"/>
          <w:color w:val="000000"/>
          <w:sz w:val="24"/>
          <w:szCs w:val="24"/>
        </w:rPr>
        <w:t>Brown Lab 116</w:t>
      </w:r>
    </w:p>
    <w:p w14:paraId="65503FD3" w14:textId="756959A6" w:rsidR="004A77D4" w:rsidRPr="0004613D" w:rsidRDefault="004A77D4" w:rsidP="00C97EF6">
      <w:pPr>
        <w:shd w:val="clear" w:color="auto" w:fill="FFFFFF"/>
        <w:spacing w:after="0" w:line="240" w:lineRule="auto"/>
        <w:jc w:val="both"/>
        <w:rPr>
          <w:rFonts w:ascii="Garamond" w:eastAsia="Times New Roman" w:hAnsi="Garamond" w:cs="Times New Roman"/>
          <w:color w:val="000000"/>
          <w:sz w:val="24"/>
          <w:szCs w:val="24"/>
        </w:rPr>
      </w:pPr>
      <w:r w:rsidRPr="0004613D">
        <w:rPr>
          <w:rFonts w:ascii="Garamond" w:eastAsia="Times New Roman" w:hAnsi="Garamond" w:cs="Times New Roman"/>
          <w:color w:val="000000"/>
          <w:sz w:val="24"/>
          <w:szCs w:val="24"/>
        </w:rPr>
        <w:tab/>
      </w:r>
      <w:r w:rsidRPr="0004613D">
        <w:rPr>
          <w:rFonts w:ascii="Garamond" w:eastAsia="Times New Roman" w:hAnsi="Garamond" w:cs="Times New Roman"/>
          <w:color w:val="000000"/>
          <w:sz w:val="24"/>
          <w:szCs w:val="24"/>
        </w:rPr>
        <w:tab/>
        <w:t xml:space="preserve">Course schedule: </w:t>
      </w:r>
      <w:r w:rsidR="00ED0054">
        <w:rPr>
          <w:rFonts w:ascii="Garamond" w:eastAsia="Times New Roman" w:hAnsi="Garamond" w:cs="Times New Roman"/>
          <w:color w:val="000000"/>
          <w:sz w:val="24"/>
          <w:szCs w:val="24"/>
        </w:rPr>
        <w:t>W</w:t>
      </w:r>
      <w:r w:rsidRPr="0004613D">
        <w:rPr>
          <w:rFonts w:ascii="Garamond" w:eastAsia="Times New Roman" w:hAnsi="Garamond" w:cs="Times New Roman"/>
          <w:color w:val="000000"/>
          <w:sz w:val="24"/>
          <w:szCs w:val="24"/>
        </w:rPr>
        <w:t xml:space="preserve"> </w:t>
      </w:r>
      <w:r w:rsidR="0056173F" w:rsidRPr="0004613D">
        <w:rPr>
          <w:rFonts w:ascii="Garamond" w:eastAsia="Times New Roman" w:hAnsi="Garamond" w:cs="Times New Roman"/>
          <w:color w:val="000000"/>
          <w:sz w:val="24"/>
          <w:szCs w:val="24"/>
        </w:rPr>
        <w:t>1</w:t>
      </w:r>
      <w:r w:rsidR="00122EDB" w:rsidRPr="0004613D">
        <w:rPr>
          <w:rFonts w:ascii="Garamond" w:eastAsia="Times New Roman" w:hAnsi="Garamond" w:cs="Times New Roman"/>
          <w:color w:val="000000"/>
          <w:sz w:val="24"/>
          <w:szCs w:val="24"/>
        </w:rPr>
        <w:t>0</w:t>
      </w:r>
      <w:r w:rsidR="005D105D" w:rsidRPr="0004613D">
        <w:rPr>
          <w:rFonts w:ascii="Garamond" w:eastAsia="Times New Roman" w:hAnsi="Garamond" w:cs="Times New Roman"/>
          <w:color w:val="000000"/>
          <w:sz w:val="24"/>
          <w:szCs w:val="24"/>
        </w:rPr>
        <w:t>:</w:t>
      </w:r>
      <w:r w:rsidR="00122EDB" w:rsidRPr="0004613D">
        <w:rPr>
          <w:rFonts w:ascii="Garamond" w:eastAsia="Times New Roman" w:hAnsi="Garamond" w:cs="Times New Roman"/>
          <w:color w:val="000000"/>
          <w:sz w:val="24"/>
          <w:szCs w:val="24"/>
        </w:rPr>
        <w:t>2</w:t>
      </w:r>
      <w:r w:rsidR="005D105D" w:rsidRPr="0004613D">
        <w:rPr>
          <w:rFonts w:ascii="Garamond" w:eastAsia="Times New Roman" w:hAnsi="Garamond" w:cs="Times New Roman"/>
          <w:color w:val="000000"/>
          <w:sz w:val="24"/>
          <w:szCs w:val="24"/>
        </w:rPr>
        <w:t>0</w:t>
      </w:r>
      <w:r w:rsidR="00122EDB" w:rsidRPr="0004613D">
        <w:rPr>
          <w:rFonts w:ascii="Garamond" w:eastAsia="Times New Roman" w:hAnsi="Garamond" w:cs="Times New Roman"/>
          <w:color w:val="000000"/>
          <w:sz w:val="24"/>
          <w:szCs w:val="24"/>
        </w:rPr>
        <w:t xml:space="preserve"> AM</w:t>
      </w:r>
      <w:r w:rsidR="005D105D" w:rsidRPr="0004613D">
        <w:rPr>
          <w:rFonts w:ascii="Garamond" w:eastAsia="Times New Roman" w:hAnsi="Garamond" w:cs="Times New Roman"/>
          <w:color w:val="000000"/>
          <w:sz w:val="24"/>
          <w:szCs w:val="24"/>
        </w:rPr>
        <w:t xml:space="preserve"> </w:t>
      </w:r>
      <w:r w:rsidRPr="0004613D">
        <w:rPr>
          <w:rFonts w:ascii="Garamond" w:eastAsia="Times New Roman" w:hAnsi="Garamond" w:cs="Times New Roman"/>
          <w:color w:val="000000"/>
          <w:sz w:val="24"/>
          <w:szCs w:val="24"/>
        </w:rPr>
        <w:t>—</w:t>
      </w:r>
      <w:r w:rsidR="00122EDB" w:rsidRPr="0004613D">
        <w:rPr>
          <w:rFonts w:ascii="Garamond" w:eastAsia="Times New Roman" w:hAnsi="Garamond" w:cs="Times New Roman"/>
          <w:color w:val="000000"/>
          <w:sz w:val="24"/>
          <w:szCs w:val="24"/>
        </w:rPr>
        <w:t xml:space="preserve"> 1</w:t>
      </w:r>
      <w:r w:rsidR="005D105D" w:rsidRPr="0004613D">
        <w:rPr>
          <w:rFonts w:ascii="Garamond" w:eastAsia="Times New Roman" w:hAnsi="Garamond" w:cs="Times New Roman"/>
          <w:color w:val="000000"/>
          <w:sz w:val="24"/>
          <w:szCs w:val="24"/>
        </w:rPr>
        <w:t>:</w:t>
      </w:r>
      <w:r w:rsidR="00122EDB" w:rsidRPr="0004613D">
        <w:rPr>
          <w:rFonts w:ascii="Garamond" w:eastAsia="Times New Roman" w:hAnsi="Garamond" w:cs="Times New Roman"/>
          <w:color w:val="000000"/>
          <w:sz w:val="24"/>
          <w:szCs w:val="24"/>
        </w:rPr>
        <w:t>20</w:t>
      </w:r>
      <w:r w:rsidR="005D105D" w:rsidRPr="0004613D">
        <w:rPr>
          <w:rFonts w:ascii="Garamond" w:eastAsia="Times New Roman" w:hAnsi="Garamond" w:cs="Times New Roman"/>
          <w:color w:val="000000"/>
          <w:sz w:val="24"/>
          <w:szCs w:val="24"/>
        </w:rPr>
        <w:t xml:space="preserve"> </w:t>
      </w:r>
      <w:r w:rsidR="0056173F" w:rsidRPr="0004613D">
        <w:rPr>
          <w:rFonts w:ascii="Garamond" w:eastAsia="Times New Roman" w:hAnsi="Garamond" w:cs="Times New Roman"/>
          <w:color w:val="000000"/>
          <w:sz w:val="24"/>
          <w:szCs w:val="24"/>
        </w:rPr>
        <w:t>PM</w:t>
      </w:r>
    </w:p>
    <w:p w14:paraId="7FB2B14B" w14:textId="01D26FC6" w:rsidR="004F03D8" w:rsidRPr="0004613D" w:rsidRDefault="004F03D8" w:rsidP="004F03D8">
      <w:pPr>
        <w:shd w:val="clear" w:color="auto" w:fill="FFFFFF"/>
        <w:spacing w:after="0" w:line="240" w:lineRule="auto"/>
        <w:jc w:val="both"/>
        <w:rPr>
          <w:rFonts w:ascii="Garamond" w:eastAsia="Times New Roman" w:hAnsi="Garamond" w:cs="Times New Roman"/>
          <w:color w:val="000000"/>
          <w:sz w:val="24"/>
          <w:szCs w:val="24"/>
        </w:rPr>
      </w:pPr>
      <w:r w:rsidRPr="0004613D">
        <w:rPr>
          <w:rFonts w:ascii="Garamond" w:eastAsia="Times New Roman" w:hAnsi="Garamond" w:cs="Times New Roman"/>
          <w:color w:val="000000"/>
          <w:sz w:val="24"/>
          <w:szCs w:val="24"/>
        </w:rPr>
        <w:tab/>
      </w:r>
      <w:r w:rsidRPr="0004613D">
        <w:rPr>
          <w:rFonts w:ascii="Garamond" w:eastAsia="Times New Roman" w:hAnsi="Garamond" w:cs="Times New Roman"/>
          <w:color w:val="000000"/>
          <w:sz w:val="24"/>
          <w:szCs w:val="24"/>
        </w:rPr>
        <w:tab/>
        <w:t>Lab location: Willard Hall 205</w:t>
      </w:r>
      <w:r w:rsidR="00DA39AF">
        <w:rPr>
          <w:rFonts w:ascii="Garamond" w:eastAsia="Times New Roman" w:hAnsi="Garamond" w:cs="Times New Roman"/>
          <w:color w:val="000000"/>
          <w:sz w:val="24"/>
          <w:szCs w:val="24"/>
        </w:rPr>
        <w:t xml:space="preserve"> (TA: Hojung Lee, hojung@udel.edu)</w:t>
      </w:r>
    </w:p>
    <w:p w14:paraId="004D7D5A" w14:textId="27F047A8" w:rsidR="004F03D8" w:rsidRPr="0004613D" w:rsidRDefault="004F03D8" w:rsidP="004F03D8">
      <w:pPr>
        <w:shd w:val="clear" w:color="auto" w:fill="FFFFFF"/>
        <w:spacing w:after="0" w:line="240" w:lineRule="auto"/>
        <w:jc w:val="both"/>
        <w:rPr>
          <w:rFonts w:ascii="Garamond" w:eastAsia="Times New Roman" w:hAnsi="Garamond" w:cs="Times New Roman"/>
          <w:color w:val="000000"/>
          <w:sz w:val="24"/>
          <w:szCs w:val="24"/>
        </w:rPr>
      </w:pPr>
      <w:r w:rsidRPr="0004613D">
        <w:rPr>
          <w:rFonts w:ascii="Garamond" w:eastAsia="Times New Roman" w:hAnsi="Garamond" w:cs="Times New Roman"/>
          <w:color w:val="000000"/>
          <w:sz w:val="24"/>
          <w:szCs w:val="24"/>
        </w:rPr>
        <w:tab/>
      </w:r>
      <w:r w:rsidRPr="0004613D">
        <w:rPr>
          <w:rFonts w:ascii="Garamond" w:eastAsia="Times New Roman" w:hAnsi="Garamond" w:cs="Times New Roman"/>
          <w:color w:val="000000"/>
          <w:sz w:val="24"/>
          <w:szCs w:val="24"/>
        </w:rPr>
        <w:tab/>
        <w:t xml:space="preserve">Lab schedule: F </w:t>
      </w:r>
      <w:r w:rsidR="000F25DD" w:rsidRPr="0004613D">
        <w:rPr>
          <w:rFonts w:ascii="Garamond" w:eastAsia="Times New Roman" w:hAnsi="Garamond" w:cs="Times New Roman"/>
          <w:color w:val="000000"/>
          <w:sz w:val="24"/>
          <w:szCs w:val="24"/>
        </w:rPr>
        <w:t>2:00</w:t>
      </w:r>
      <w:r w:rsidRPr="0004613D">
        <w:rPr>
          <w:rFonts w:ascii="Garamond" w:eastAsia="Times New Roman" w:hAnsi="Garamond" w:cs="Times New Roman"/>
          <w:color w:val="000000"/>
          <w:sz w:val="24"/>
          <w:szCs w:val="24"/>
        </w:rPr>
        <w:t xml:space="preserve"> PM — </w:t>
      </w:r>
      <w:r w:rsidR="000F25DD" w:rsidRPr="0004613D">
        <w:rPr>
          <w:rFonts w:ascii="Garamond" w:eastAsia="Times New Roman" w:hAnsi="Garamond" w:cs="Times New Roman"/>
          <w:color w:val="000000"/>
          <w:sz w:val="24"/>
          <w:szCs w:val="24"/>
        </w:rPr>
        <w:t>3:00</w:t>
      </w:r>
      <w:r w:rsidRPr="0004613D">
        <w:rPr>
          <w:rFonts w:ascii="Garamond" w:eastAsia="Times New Roman" w:hAnsi="Garamond" w:cs="Times New Roman"/>
          <w:color w:val="000000"/>
          <w:sz w:val="24"/>
          <w:szCs w:val="24"/>
        </w:rPr>
        <w:t xml:space="preserve"> PM </w:t>
      </w:r>
    </w:p>
    <w:p w14:paraId="52AD68AE" w14:textId="37CE97E6" w:rsidR="00786E6F" w:rsidRPr="0004613D" w:rsidRDefault="00786E6F" w:rsidP="00C97EF6">
      <w:pPr>
        <w:shd w:val="clear" w:color="auto" w:fill="FFFFFF"/>
        <w:spacing w:after="0" w:line="240" w:lineRule="auto"/>
        <w:jc w:val="both"/>
        <w:rPr>
          <w:rFonts w:ascii="Garamond" w:eastAsia="Times New Roman" w:hAnsi="Garamond" w:cs="Times New Roman"/>
          <w:color w:val="000000"/>
          <w:sz w:val="24"/>
          <w:szCs w:val="24"/>
        </w:rPr>
      </w:pPr>
    </w:p>
    <w:p w14:paraId="6195ABAF" w14:textId="2904E6B3" w:rsidR="00C03A33" w:rsidRPr="0073697B" w:rsidRDefault="00C03A33" w:rsidP="00C97EF6">
      <w:pPr>
        <w:pStyle w:val="NoSpacing"/>
        <w:jc w:val="both"/>
        <w:rPr>
          <w:rFonts w:ascii="Garamond" w:hAnsi="Garamond" w:cs="Times New Roman"/>
          <w:sz w:val="24"/>
          <w:szCs w:val="24"/>
        </w:rPr>
      </w:pPr>
      <w:r w:rsidRPr="0004613D">
        <w:rPr>
          <w:rFonts w:ascii="Garamond" w:hAnsi="Garamond" w:cs="Times New Roman"/>
          <w:b/>
          <w:sz w:val="24"/>
          <w:szCs w:val="24"/>
        </w:rPr>
        <w:t>Disclaimer:</w:t>
      </w:r>
      <w:r w:rsidRPr="0004613D">
        <w:rPr>
          <w:rFonts w:ascii="Garamond" w:hAnsi="Garamond" w:cs="Times New Roman"/>
          <w:sz w:val="24"/>
          <w:szCs w:val="24"/>
        </w:rPr>
        <w:t xml:space="preserve"> The instructor reserves the right</w:t>
      </w:r>
      <w:r w:rsidRPr="0073697B">
        <w:rPr>
          <w:rFonts w:ascii="Garamond" w:hAnsi="Garamond" w:cs="Times New Roman"/>
          <w:sz w:val="24"/>
          <w:szCs w:val="24"/>
        </w:rPr>
        <w:t xml:space="preserve"> to change the syllabus as necessary. Any changes to the syllabus will be communicated via C</w:t>
      </w:r>
      <w:r w:rsidR="006D4C07">
        <w:rPr>
          <w:rFonts w:ascii="Garamond" w:hAnsi="Garamond" w:cs="Times New Roman"/>
          <w:sz w:val="24"/>
          <w:szCs w:val="24"/>
        </w:rPr>
        <w:t>+</w:t>
      </w:r>
      <w:r w:rsidRPr="0073697B">
        <w:rPr>
          <w:rFonts w:ascii="Garamond" w:hAnsi="Garamond" w:cs="Times New Roman"/>
          <w:sz w:val="24"/>
          <w:szCs w:val="24"/>
        </w:rPr>
        <w:t>ANVAS and announced in class. Students are responsible for noting such changes.</w:t>
      </w:r>
    </w:p>
    <w:p w14:paraId="45E8358F" w14:textId="77777777" w:rsidR="00C03A33" w:rsidRPr="0073697B" w:rsidRDefault="00C03A33" w:rsidP="00C97EF6">
      <w:pPr>
        <w:shd w:val="clear" w:color="auto" w:fill="FFFFFF"/>
        <w:spacing w:after="0" w:line="240" w:lineRule="auto"/>
        <w:jc w:val="both"/>
        <w:rPr>
          <w:rFonts w:ascii="Garamond" w:eastAsia="Times New Roman" w:hAnsi="Garamond" w:cs="Times New Roman"/>
          <w:b/>
          <w:color w:val="000000"/>
          <w:sz w:val="24"/>
          <w:szCs w:val="24"/>
        </w:rPr>
      </w:pPr>
    </w:p>
    <w:p w14:paraId="785B98BF" w14:textId="5DEDF3A7" w:rsidR="00786E6F" w:rsidRPr="0073697B" w:rsidRDefault="00786E6F" w:rsidP="00C97EF6">
      <w:pPr>
        <w:shd w:val="clear" w:color="auto" w:fill="FFFFFF"/>
        <w:spacing w:after="0" w:line="240" w:lineRule="auto"/>
        <w:jc w:val="both"/>
        <w:rPr>
          <w:rFonts w:ascii="Garamond" w:eastAsia="Times New Roman" w:hAnsi="Garamond" w:cs="Times New Roman"/>
          <w:color w:val="000000"/>
          <w:sz w:val="24"/>
          <w:szCs w:val="24"/>
        </w:rPr>
      </w:pPr>
      <w:r w:rsidRPr="0073697B">
        <w:rPr>
          <w:rFonts w:ascii="Garamond" w:eastAsia="Times New Roman" w:hAnsi="Garamond" w:cs="Times New Roman"/>
          <w:b/>
          <w:color w:val="000000"/>
          <w:sz w:val="24"/>
          <w:szCs w:val="24"/>
        </w:rPr>
        <w:t xml:space="preserve">Course Structure: </w:t>
      </w:r>
      <w:r w:rsidRPr="0073697B">
        <w:rPr>
          <w:rFonts w:ascii="Garamond" w:eastAsia="Times New Roman" w:hAnsi="Garamond" w:cs="Times New Roman"/>
          <w:color w:val="000000"/>
          <w:sz w:val="24"/>
          <w:szCs w:val="24"/>
        </w:rPr>
        <w:t xml:space="preserve">This course will meet </w:t>
      </w:r>
      <w:r w:rsidR="00D61B30">
        <w:rPr>
          <w:rFonts w:ascii="Garamond" w:eastAsia="Times New Roman" w:hAnsi="Garamond" w:cs="Times New Roman"/>
          <w:color w:val="000000"/>
          <w:sz w:val="24"/>
          <w:szCs w:val="24"/>
        </w:rPr>
        <w:t xml:space="preserve">once </w:t>
      </w:r>
      <w:r w:rsidRPr="0073697B">
        <w:rPr>
          <w:rFonts w:ascii="Garamond" w:eastAsia="Times New Roman" w:hAnsi="Garamond" w:cs="Times New Roman"/>
          <w:color w:val="000000"/>
          <w:sz w:val="24"/>
          <w:szCs w:val="24"/>
        </w:rPr>
        <w:t xml:space="preserve">per week during the </w:t>
      </w:r>
      <w:r w:rsidR="00BA6087">
        <w:rPr>
          <w:rFonts w:ascii="Garamond" w:eastAsia="Times New Roman" w:hAnsi="Garamond" w:cs="Times New Roman"/>
          <w:color w:val="000000"/>
          <w:sz w:val="24"/>
          <w:szCs w:val="24"/>
        </w:rPr>
        <w:t>Spring</w:t>
      </w:r>
      <w:r w:rsidRPr="0073697B">
        <w:rPr>
          <w:rFonts w:ascii="Garamond" w:eastAsia="Times New Roman" w:hAnsi="Garamond" w:cs="Times New Roman"/>
          <w:color w:val="000000"/>
          <w:sz w:val="24"/>
          <w:szCs w:val="24"/>
        </w:rPr>
        <w:t xml:space="preserve"> of 20</w:t>
      </w:r>
      <w:r w:rsidR="00BA6087">
        <w:rPr>
          <w:rFonts w:ascii="Garamond" w:eastAsia="Times New Roman" w:hAnsi="Garamond" w:cs="Times New Roman"/>
          <w:color w:val="000000"/>
          <w:sz w:val="24"/>
          <w:szCs w:val="24"/>
        </w:rPr>
        <w:t>22</w:t>
      </w:r>
      <w:r w:rsidRPr="0073697B">
        <w:rPr>
          <w:rFonts w:ascii="Garamond" w:eastAsia="Times New Roman" w:hAnsi="Garamond" w:cs="Times New Roman"/>
          <w:color w:val="000000"/>
          <w:sz w:val="24"/>
          <w:szCs w:val="24"/>
        </w:rPr>
        <w:t xml:space="preserve">, </w:t>
      </w:r>
      <w:r w:rsidR="0039039E">
        <w:rPr>
          <w:rFonts w:ascii="Garamond" w:eastAsia="Times New Roman" w:hAnsi="Garamond" w:cs="Times New Roman"/>
          <w:color w:val="000000"/>
          <w:sz w:val="24"/>
          <w:szCs w:val="24"/>
        </w:rPr>
        <w:t>Wednesdays</w:t>
      </w:r>
      <w:r w:rsidR="00E02EB7" w:rsidRPr="0073697B">
        <w:rPr>
          <w:rFonts w:ascii="Garamond" w:eastAsia="Times New Roman" w:hAnsi="Garamond" w:cs="Times New Roman"/>
          <w:color w:val="000000"/>
          <w:sz w:val="24"/>
          <w:szCs w:val="24"/>
        </w:rPr>
        <w:t xml:space="preserve">, from </w:t>
      </w:r>
      <w:r w:rsidR="0039039E">
        <w:rPr>
          <w:rFonts w:ascii="Garamond" w:eastAsia="Times New Roman" w:hAnsi="Garamond" w:cs="Times New Roman"/>
          <w:color w:val="000000"/>
          <w:sz w:val="24"/>
          <w:szCs w:val="24"/>
        </w:rPr>
        <w:t>10</w:t>
      </w:r>
      <w:r w:rsidR="00E02EB7" w:rsidRPr="0073697B">
        <w:rPr>
          <w:rFonts w:ascii="Garamond" w:eastAsia="Times New Roman" w:hAnsi="Garamond" w:cs="Times New Roman"/>
          <w:color w:val="000000"/>
          <w:sz w:val="24"/>
          <w:szCs w:val="24"/>
        </w:rPr>
        <w:t>:</w:t>
      </w:r>
      <w:r w:rsidR="0039039E">
        <w:rPr>
          <w:rFonts w:ascii="Garamond" w:eastAsia="Times New Roman" w:hAnsi="Garamond" w:cs="Times New Roman"/>
          <w:color w:val="000000"/>
          <w:sz w:val="24"/>
          <w:szCs w:val="24"/>
        </w:rPr>
        <w:t>20</w:t>
      </w:r>
      <w:r w:rsidR="0039039E" w:rsidRPr="0073697B">
        <w:rPr>
          <w:rFonts w:ascii="Garamond" w:eastAsia="Times New Roman" w:hAnsi="Garamond" w:cs="Times New Roman"/>
          <w:color w:val="000000"/>
          <w:sz w:val="24"/>
          <w:szCs w:val="24"/>
        </w:rPr>
        <w:t xml:space="preserve"> </w:t>
      </w:r>
      <w:r w:rsidR="0039039E">
        <w:rPr>
          <w:rFonts w:ascii="Garamond" w:eastAsia="Times New Roman" w:hAnsi="Garamond" w:cs="Times New Roman"/>
          <w:color w:val="000000"/>
          <w:sz w:val="24"/>
          <w:szCs w:val="24"/>
        </w:rPr>
        <w:t>am</w:t>
      </w:r>
      <w:r w:rsidRPr="0073697B">
        <w:rPr>
          <w:rFonts w:ascii="Garamond" w:eastAsia="Times New Roman" w:hAnsi="Garamond" w:cs="Times New Roman"/>
          <w:color w:val="000000"/>
          <w:sz w:val="24"/>
          <w:szCs w:val="24"/>
        </w:rPr>
        <w:t>—</w:t>
      </w:r>
      <w:r w:rsidR="0039039E">
        <w:rPr>
          <w:rFonts w:ascii="Garamond" w:eastAsia="Times New Roman" w:hAnsi="Garamond" w:cs="Times New Roman"/>
          <w:color w:val="000000"/>
          <w:sz w:val="24"/>
          <w:szCs w:val="24"/>
        </w:rPr>
        <w:t>1</w:t>
      </w:r>
      <w:r w:rsidRPr="0073697B">
        <w:rPr>
          <w:rFonts w:ascii="Garamond" w:eastAsia="Times New Roman" w:hAnsi="Garamond" w:cs="Times New Roman"/>
          <w:color w:val="000000"/>
          <w:sz w:val="24"/>
          <w:szCs w:val="24"/>
        </w:rPr>
        <w:t>:</w:t>
      </w:r>
      <w:r w:rsidR="0039039E">
        <w:rPr>
          <w:rFonts w:ascii="Garamond" w:eastAsia="Times New Roman" w:hAnsi="Garamond" w:cs="Times New Roman"/>
          <w:color w:val="000000"/>
          <w:sz w:val="24"/>
          <w:szCs w:val="24"/>
        </w:rPr>
        <w:t>20</w:t>
      </w:r>
      <w:r w:rsidR="0039039E" w:rsidRPr="0073697B">
        <w:rPr>
          <w:rFonts w:ascii="Garamond" w:eastAsia="Times New Roman" w:hAnsi="Garamond" w:cs="Times New Roman"/>
          <w:color w:val="000000"/>
          <w:sz w:val="24"/>
          <w:szCs w:val="24"/>
        </w:rPr>
        <w:t xml:space="preserve"> </w:t>
      </w:r>
      <w:r w:rsidR="00BA6087">
        <w:rPr>
          <w:rFonts w:ascii="Garamond" w:eastAsia="Times New Roman" w:hAnsi="Garamond" w:cs="Times New Roman"/>
          <w:color w:val="000000"/>
          <w:sz w:val="24"/>
          <w:szCs w:val="24"/>
        </w:rPr>
        <w:t>p</w:t>
      </w:r>
      <w:r w:rsidRPr="0073697B">
        <w:rPr>
          <w:rFonts w:ascii="Garamond" w:eastAsia="Times New Roman" w:hAnsi="Garamond" w:cs="Times New Roman"/>
          <w:color w:val="000000"/>
          <w:sz w:val="24"/>
          <w:szCs w:val="24"/>
        </w:rPr>
        <w:t xml:space="preserve">m. </w:t>
      </w:r>
    </w:p>
    <w:p w14:paraId="6CFFC381" w14:textId="77777777" w:rsidR="00786E6F" w:rsidRPr="0073697B" w:rsidRDefault="00786E6F" w:rsidP="00C97EF6">
      <w:pPr>
        <w:shd w:val="clear" w:color="auto" w:fill="FFFFFF"/>
        <w:spacing w:after="0" w:line="240" w:lineRule="auto"/>
        <w:jc w:val="both"/>
        <w:rPr>
          <w:rFonts w:ascii="Garamond" w:eastAsia="Times New Roman" w:hAnsi="Garamond" w:cs="Times New Roman"/>
          <w:color w:val="000000"/>
          <w:sz w:val="24"/>
          <w:szCs w:val="24"/>
        </w:rPr>
      </w:pPr>
    </w:p>
    <w:p w14:paraId="2AFC3043" w14:textId="77777777" w:rsidR="00E418AE" w:rsidRPr="0073697B" w:rsidRDefault="00786E6F" w:rsidP="00C97EF6">
      <w:pPr>
        <w:spacing w:after="0" w:line="240" w:lineRule="auto"/>
        <w:jc w:val="both"/>
        <w:rPr>
          <w:rFonts w:ascii="Garamond" w:eastAsia="Times New Roman" w:hAnsi="Garamond" w:cs="Times New Roman"/>
          <w:color w:val="222222"/>
          <w:sz w:val="24"/>
          <w:szCs w:val="24"/>
          <w:shd w:val="clear" w:color="auto" w:fill="FFFFFF"/>
        </w:rPr>
      </w:pPr>
      <w:r w:rsidRPr="0073697B">
        <w:rPr>
          <w:rFonts w:ascii="Garamond" w:eastAsia="Times New Roman" w:hAnsi="Garamond" w:cs="Times New Roman"/>
          <w:b/>
          <w:color w:val="000000"/>
          <w:sz w:val="24"/>
          <w:szCs w:val="24"/>
        </w:rPr>
        <w:t xml:space="preserve">Course Description: </w:t>
      </w:r>
      <w:r w:rsidR="00E418AE" w:rsidRPr="0073697B">
        <w:rPr>
          <w:rFonts w:ascii="Garamond" w:eastAsia="Times New Roman" w:hAnsi="Garamond" w:cs="Times New Roman"/>
          <w:color w:val="222222"/>
          <w:sz w:val="24"/>
          <w:szCs w:val="24"/>
          <w:shd w:val="clear" w:color="auto" w:fill="FFFFFF"/>
        </w:rPr>
        <w:t>Many interesting events and interventions cannot be randomized (e.g., marriage, segregation, educational attainment). How then to derive an inference about the effect of a phenomenon in the absence of randomization? This class surveys contemporary approaches to quasi-experimental methods used to construct (or identify) counterfactuals in such contexts. Students will get applied experience with these methods and the theoretical foundations on which they are based, including the potential outcomes framework (i.e., the Rubin causal model). The course will cover methods for cross-sectional (e.g., propensity score matching, regression discontinuity, and instrumental variables) and panel (e.g., difference-in-differences, comparative interrupted time series, and synthetic controls) data. Course materials and activities include code examples, replication of findings from existing datasets, and exploration of new possibilities. In particular, students are encouraged to combine these techniques with familiar datasets to address new research questions.</w:t>
      </w:r>
    </w:p>
    <w:p w14:paraId="27D452AF" w14:textId="77777777" w:rsidR="009041D2" w:rsidRPr="0073697B" w:rsidRDefault="009041D2" w:rsidP="00C97EF6">
      <w:pPr>
        <w:spacing w:after="0" w:line="240" w:lineRule="auto"/>
        <w:jc w:val="both"/>
        <w:rPr>
          <w:rFonts w:ascii="Garamond" w:hAnsi="Garamond" w:cs="Times New Roman"/>
          <w:b/>
          <w:sz w:val="24"/>
          <w:szCs w:val="24"/>
        </w:rPr>
      </w:pPr>
    </w:p>
    <w:p w14:paraId="1774BCF9" w14:textId="77777777" w:rsidR="00C849A4" w:rsidRPr="0073697B" w:rsidRDefault="00E6400E" w:rsidP="00C97EF6">
      <w:pPr>
        <w:spacing w:after="0" w:line="240" w:lineRule="auto"/>
        <w:jc w:val="both"/>
        <w:rPr>
          <w:rFonts w:ascii="Garamond" w:hAnsi="Garamond" w:cs="Times New Roman"/>
          <w:b/>
          <w:sz w:val="24"/>
          <w:szCs w:val="24"/>
        </w:rPr>
      </w:pPr>
      <w:r w:rsidRPr="0073697B">
        <w:rPr>
          <w:rFonts w:ascii="Garamond" w:hAnsi="Garamond" w:cs="Times New Roman"/>
          <w:b/>
          <w:sz w:val="24"/>
          <w:szCs w:val="24"/>
        </w:rPr>
        <w:t>Course Materials:</w:t>
      </w:r>
    </w:p>
    <w:p w14:paraId="7482552D" w14:textId="5188C5BD" w:rsidR="009D6127" w:rsidRPr="0073697B" w:rsidRDefault="009D6127" w:rsidP="00C97EF6">
      <w:pPr>
        <w:spacing w:after="0" w:line="240" w:lineRule="auto"/>
        <w:jc w:val="both"/>
        <w:rPr>
          <w:rFonts w:ascii="Garamond" w:hAnsi="Garamond" w:cs="Times New Roman"/>
          <w:sz w:val="24"/>
          <w:szCs w:val="24"/>
        </w:rPr>
      </w:pPr>
      <w:r w:rsidRPr="0073697B">
        <w:rPr>
          <w:rFonts w:ascii="Garamond" w:hAnsi="Garamond" w:cs="Times New Roman"/>
          <w:sz w:val="24"/>
          <w:szCs w:val="24"/>
        </w:rPr>
        <w:t xml:space="preserve">We will be reading papers, mostly peer-reviewed, but occasionally working papers. These papers are easily available through Google scholar or the </w:t>
      </w:r>
      <w:r w:rsidR="00247241">
        <w:rPr>
          <w:rFonts w:ascii="Garamond" w:hAnsi="Garamond" w:cs="Times New Roman"/>
          <w:sz w:val="24"/>
          <w:szCs w:val="24"/>
        </w:rPr>
        <w:t>UDel</w:t>
      </w:r>
      <w:r w:rsidRPr="0073697B">
        <w:rPr>
          <w:rFonts w:ascii="Garamond" w:hAnsi="Garamond" w:cs="Times New Roman"/>
          <w:sz w:val="24"/>
          <w:szCs w:val="24"/>
        </w:rPr>
        <w:t xml:space="preserve"> library. I </w:t>
      </w:r>
      <w:r w:rsidR="00CC7EF7">
        <w:rPr>
          <w:rFonts w:ascii="Garamond" w:hAnsi="Garamond" w:cs="Times New Roman"/>
          <w:sz w:val="24"/>
          <w:szCs w:val="24"/>
        </w:rPr>
        <w:t xml:space="preserve">ask that you read chapters from Scott Cunningham’s excellent and free online textbook, as many of the lecture slides will be drawn from there. Books by </w:t>
      </w:r>
      <w:r w:rsidR="00247241">
        <w:rPr>
          <w:rFonts w:ascii="Garamond" w:hAnsi="Garamond" w:cs="Times New Roman"/>
          <w:sz w:val="24"/>
          <w:szCs w:val="24"/>
        </w:rPr>
        <w:t xml:space="preserve">Huntington-Klein, </w:t>
      </w:r>
      <w:r w:rsidR="00CC7EF7">
        <w:rPr>
          <w:rFonts w:ascii="Garamond" w:hAnsi="Garamond" w:cs="Times New Roman"/>
          <w:sz w:val="24"/>
          <w:szCs w:val="24"/>
        </w:rPr>
        <w:t>Angrist and Pischke, Morgan and Winship, and Imbens and Rubin are also encouraged but purchase is not required.</w:t>
      </w:r>
    </w:p>
    <w:p w14:paraId="470A8C71" w14:textId="77777777" w:rsidR="009041D2" w:rsidRPr="0073697B" w:rsidRDefault="009041D2" w:rsidP="00C97EF6">
      <w:pPr>
        <w:spacing w:after="0" w:line="240" w:lineRule="auto"/>
        <w:jc w:val="both"/>
        <w:rPr>
          <w:rFonts w:ascii="Garamond" w:hAnsi="Garamond" w:cs="Times New Roman"/>
          <w:sz w:val="24"/>
          <w:szCs w:val="24"/>
        </w:rPr>
      </w:pPr>
    </w:p>
    <w:p w14:paraId="7ABAB6DF" w14:textId="77777777" w:rsidR="000C2A6B" w:rsidRDefault="00E40426" w:rsidP="00C97EF6">
      <w:pPr>
        <w:pStyle w:val="NoSpacing"/>
        <w:jc w:val="both"/>
        <w:rPr>
          <w:rFonts w:ascii="Garamond" w:hAnsi="Garamond" w:cs="Arial"/>
          <w:color w:val="222222"/>
          <w:sz w:val="24"/>
          <w:szCs w:val="24"/>
          <w:shd w:val="clear" w:color="auto" w:fill="FFFFFF"/>
        </w:rPr>
      </w:pPr>
      <w:r>
        <w:rPr>
          <w:rFonts w:ascii="Garamond" w:hAnsi="Garamond" w:cs="Times New Roman"/>
          <w:sz w:val="24"/>
          <w:szCs w:val="24"/>
          <w:u w:val="single"/>
        </w:rPr>
        <w:t>Required resource:</w:t>
      </w:r>
      <w:r w:rsidRPr="0073697B">
        <w:rPr>
          <w:rFonts w:ascii="Garamond" w:hAnsi="Garamond" w:cs="Arial"/>
          <w:color w:val="222222"/>
          <w:sz w:val="24"/>
          <w:szCs w:val="24"/>
          <w:shd w:val="clear" w:color="auto" w:fill="FFFFFF"/>
        </w:rPr>
        <w:t xml:space="preserve"> </w:t>
      </w:r>
    </w:p>
    <w:p w14:paraId="68067176" w14:textId="77777777" w:rsidR="00C112C7" w:rsidRPr="0073697B" w:rsidRDefault="00C112C7" w:rsidP="00C97EF6">
      <w:pPr>
        <w:pStyle w:val="NoSpacing"/>
        <w:jc w:val="both"/>
        <w:rPr>
          <w:rFonts w:ascii="Garamond" w:hAnsi="Garamond" w:cs="Arial"/>
          <w:color w:val="222222"/>
          <w:sz w:val="24"/>
          <w:szCs w:val="24"/>
          <w:shd w:val="clear" w:color="auto" w:fill="FFFFFF"/>
        </w:rPr>
      </w:pPr>
    </w:p>
    <w:p w14:paraId="5A3B9DCC" w14:textId="77777777" w:rsidR="00EB7E0D" w:rsidRPr="00E40426" w:rsidRDefault="00EB7E0D" w:rsidP="00C97EF6">
      <w:pPr>
        <w:pStyle w:val="NoSpacing"/>
        <w:numPr>
          <w:ilvl w:val="0"/>
          <w:numId w:val="15"/>
        </w:numPr>
        <w:jc w:val="both"/>
        <w:rPr>
          <w:rStyle w:val="Hyperlink"/>
          <w:rFonts w:ascii="Garamond" w:hAnsi="Garamond"/>
          <w:color w:val="auto"/>
          <w:sz w:val="24"/>
          <w:szCs w:val="24"/>
          <w:u w:val="none"/>
        </w:rPr>
      </w:pPr>
      <w:r w:rsidRPr="0073697B">
        <w:rPr>
          <w:rFonts w:ascii="Garamond" w:hAnsi="Garamond" w:cs="Arial"/>
          <w:color w:val="222222"/>
          <w:sz w:val="24"/>
          <w:szCs w:val="24"/>
          <w:shd w:val="clear" w:color="auto" w:fill="FFFFFF"/>
        </w:rPr>
        <w:t xml:space="preserve">Cunningham, Scott </w:t>
      </w:r>
      <w:r w:rsidRPr="0073697B">
        <w:rPr>
          <w:rFonts w:ascii="Garamond" w:hAnsi="Garamond" w:cs="Arial"/>
          <w:i/>
          <w:color w:val="222222"/>
          <w:sz w:val="24"/>
          <w:szCs w:val="24"/>
          <w:shd w:val="clear" w:color="auto" w:fill="FFFFFF"/>
        </w:rPr>
        <w:t xml:space="preserve">Causal Inference: the Mixtape </w:t>
      </w:r>
      <w:hyperlink r:id="rId6" w:history="1">
        <w:r w:rsidRPr="0073697B">
          <w:rPr>
            <w:rStyle w:val="Hyperlink"/>
            <w:rFonts w:ascii="Garamond" w:hAnsi="Garamond"/>
            <w:sz w:val="24"/>
            <w:szCs w:val="24"/>
          </w:rPr>
          <w:t>http://www.scunning.com/cunningham_mixtape.pdf</w:t>
        </w:r>
      </w:hyperlink>
    </w:p>
    <w:p w14:paraId="6CE3652D" w14:textId="77777777" w:rsidR="00C112C7" w:rsidRDefault="00C112C7" w:rsidP="00E40426">
      <w:pPr>
        <w:pStyle w:val="NoSpacing"/>
        <w:jc w:val="both"/>
        <w:rPr>
          <w:rFonts w:ascii="Garamond" w:hAnsi="Garamond" w:cs="Arial"/>
          <w:color w:val="222222"/>
          <w:sz w:val="24"/>
          <w:szCs w:val="24"/>
          <w:u w:val="single"/>
          <w:shd w:val="clear" w:color="auto" w:fill="FFFFFF"/>
        </w:rPr>
      </w:pPr>
    </w:p>
    <w:p w14:paraId="69A0B377" w14:textId="77777777" w:rsidR="00E40426" w:rsidRPr="00E40426" w:rsidRDefault="00E40426" w:rsidP="00E40426">
      <w:pPr>
        <w:pStyle w:val="NoSpacing"/>
        <w:jc w:val="both"/>
        <w:rPr>
          <w:rStyle w:val="Hyperlink"/>
          <w:rFonts w:ascii="Garamond" w:hAnsi="Garamond"/>
          <w:color w:val="auto"/>
          <w:sz w:val="24"/>
          <w:szCs w:val="24"/>
        </w:rPr>
      </w:pPr>
      <w:r w:rsidRPr="00E40426">
        <w:rPr>
          <w:rFonts w:ascii="Garamond" w:hAnsi="Garamond" w:cs="Arial"/>
          <w:color w:val="222222"/>
          <w:sz w:val="24"/>
          <w:szCs w:val="24"/>
          <w:u w:val="single"/>
          <w:shd w:val="clear" w:color="auto" w:fill="FFFFFF"/>
        </w:rPr>
        <w:t>Recommended supplemental resources:</w:t>
      </w:r>
    </w:p>
    <w:p w14:paraId="5511C79A" w14:textId="77777777" w:rsidR="00EB7E0D" w:rsidRPr="0073697B" w:rsidRDefault="00EB7E0D" w:rsidP="00C97EF6">
      <w:pPr>
        <w:pStyle w:val="NoSpacing"/>
        <w:ind w:left="720"/>
        <w:jc w:val="both"/>
        <w:rPr>
          <w:rFonts w:ascii="Garamond" w:hAnsi="Garamond"/>
          <w:sz w:val="24"/>
          <w:szCs w:val="24"/>
        </w:rPr>
      </w:pPr>
    </w:p>
    <w:p w14:paraId="151A26BA" w14:textId="440AF099" w:rsidR="00247241" w:rsidRPr="00B433A3" w:rsidRDefault="00247241" w:rsidP="00E40426">
      <w:pPr>
        <w:pStyle w:val="NoSpacing"/>
        <w:numPr>
          <w:ilvl w:val="0"/>
          <w:numId w:val="17"/>
        </w:numPr>
        <w:jc w:val="both"/>
        <w:rPr>
          <w:rFonts w:ascii="Garamond" w:hAnsi="Garamond" w:cs="Arial"/>
          <w:i/>
          <w:iCs/>
          <w:color w:val="222222"/>
          <w:sz w:val="24"/>
          <w:szCs w:val="24"/>
          <w:shd w:val="clear" w:color="auto" w:fill="FFFFFF"/>
        </w:rPr>
      </w:pPr>
      <w:r>
        <w:rPr>
          <w:rFonts w:ascii="Garamond" w:hAnsi="Garamond" w:cs="Arial"/>
          <w:color w:val="222222"/>
          <w:sz w:val="24"/>
          <w:szCs w:val="24"/>
          <w:shd w:val="clear" w:color="auto" w:fill="FFFFFF"/>
        </w:rPr>
        <w:t xml:space="preserve">Huntington-Klein, Nick. </w:t>
      </w:r>
      <w:r w:rsidRPr="00247241">
        <w:rPr>
          <w:rFonts w:ascii="Garamond" w:hAnsi="Garamond" w:cs="Arial"/>
          <w:i/>
          <w:iCs/>
          <w:color w:val="222222"/>
          <w:sz w:val="24"/>
          <w:szCs w:val="24"/>
          <w:shd w:val="clear" w:color="auto" w:fill="FFFFFF"/>
        </w:rPr>
        <w:t>The Effect: An Introduction to Research Design and Causality</w:t>
      </w:r>
      <w:r>
        <w:rPr>
          <w:rFonts w:ascii="Garamond" w:hAnsi="Garamond" w:cs="Arial"/>
          <w:color w:val="222222"/>
          <w:sz w:val="24"/>
          <w:szCs w:val="24"/>
          <w:shd w:val="clear" w:color="auto" w:fill="FFFFFF"/>
        </w:rPr>
        <w:t xml:space="preserve">. </w:t>
      </w:r>
    </w:p>
    <w:p w14:paraId="262343F3" w14:textId="6E357D70" w:rsidR="009D3F7B" w:rsidRPr="0073697B" w:rsidRDefault="009D3F7B" w:rsidP="00E40426">
      <w:pPr>
        <w:pStyle w:val="NoSpacing"/>
        <w:numPr>
          <w:ilvl w:val="0"/>
          <w:numId w:val="17"/>
        </w:numPr>
        <w:jc w:val="both"/>
        <w:rPr>
          <w:rFonts w:ascii="Garamond" w:hAnsi="Garamond" w:cs="Arial"/>
          <w:color w:val="222222"/>
          <w:sz w:val="24"/>
          <w:szCs w:val="24"/>
          <w:shd w:val="clear" w:color="auto" w:fill="FFFFFF"/>
        </w:rPr>
      </w:pPr>
      <w:r w:rsidRPr="0073697B">
        <w:rPr>
          <w:rFonts w:ascii="Garamond" w:hAnsi="Garamond" w:cs="Arial"/>
          <w:color w:val="222222"/>
          <w:sz w:val="24"/>
          <w:szCs w:val="24"/>
          <w:shd w:val="clear" w:color="auto" w:fill="FFFFFF"/>
        </w:rPr>
        <w:t>Angrist, Joshua D., and Jörn-Steffen Pischke. </w:t>
      </w:r>
      <w:r w:rsidRPr="0073697B">
        <w:rPr>
          <w:rFonts w:ascii="Garamond" w:hAnsi="Garamond" w:cs="Arial"/>
          <w:i/>
          <w:iCs/>
          <w:color w:val="222222"/>
          <w:sz w:val="24"/>
          <w:szCs w:val="24"/>
          <w:shd w:val="clear" w:color="auto" w:fill="FFFFFF"/>
        </w:rPr>
        <w:t>Mostly harmless econometrics: An empiricist's companion</w:t>
      </w:r>
      <w:r w:rsidRPr="0073697B">
        <w:rPr>
          <w:rFonts w:ascii="Garamond" w:hAnsi="Garamond" w:cs="Arial"/>
          <w:color w:val="222222"/>
          <w:sz w:val="24"/>
          <w:szCs w:val="24"/>
          <w:shd w:val="clear" w:color="auto" w:fill="FFFFFF"/>
        </w:rPr>
        <w:t>. Princeton university press, 2008.</w:t>
      </w:r>
    </w:p>
    <w:p w14:paraId="425B2966" w14:textId="77777777" w:rsidR="009D3F7B" w:rsidRPr="0073697B" w:rsidRDefault="009D3F7B" w:rsidP="00E40426">
      <w:pPr>
        <w:pStyle w:val="NoSpacing"/>
        <w:numPr>
          <w:ilvl w:val="0"/>
          <w:numId w:val="17"/>
        </w:numPr>
        <w:jc w:val="both"/>
        <w:rPr>
          <w:rFonts w:ascii="Garamond" w:hAnsi="Garamond" w:cs="Arial"/>
          <w:color w:val="222222"/>
          <w:sz w:val="24"/>
          <w:szCs w:val="24"/>
          <w:shd w:val="clear" w:color="auto" w:fill="FFFFFF"/>
        </w:rPr>
      </w:pPr>
      <w:r w:rsidRPr="0073697B">
        <w:rPr>
          <w:rFonts w:ascii="Garamond" w:hAnsi="Garamond" w:cs="Arial"/>
          <w:color w:val="222222"/>
          <w:sz w:val="24"/>
          <w:szCs w:val="24"/>
          <w:shd w:val="clear" w:color="auto" w:fill="FFFFFF"/>
        </w:rPr>
        <w:lastRenderedPageBreak/>
        <w:t>Angrist, Joshua D., and Jörn-Steffen Pischke. </w:t>
      </w:r>
      <w:r w:rsidR="00D664ED">
        <w:rPr>
          <w:rFonts w:ascii="Garamond" w:hAnsi="Garamond" w:cs="Arial"/>
          <w:i/>
          <w:iCs/>
          <w:color w:val="222222"/>
          <w:sz w:val="24"/>
          <w:szCs w:val="24"/>
          <w:shd w:val="clear" w:color="auto" w:fill="FFFFFF"/>
        </w:rPr>
        <w:t xml:space="preserve">Mastering </w:t>
      </w:r>
      <w:r w:rsidRPr="0073697B">
        <w:rPr>
          <w:rFonts w:ascii="Garamond" w:hAnsi="Garamond" w:cs="Arial"/>
          <w:i/>
          <w:iCs/>
          <w:color w:val="222222"/>
          <w:sz w:val="24"/>
          <w:szCs w:val="24"/>
          <w:shd w:val="clear" w:color="auto" w:fill="FFFFFF"/>
        </w:rPr>
        <w:t>metrics: The path from cause to effect</w:t>
      </w:r>
      <w:r w:rsidRPr="0073697B">
        <w:rPr>
          <w:rFonts w:ascii="Garamond" w:hAnsi="Garamond" w:cs="Arial"/>
          <w:color w:val="222222"/>
          <w:sz w:val="24"/>
          <w:szCs w:val="24"/>
          <w:shd w:val="clear" w:color="auto" w:fill="FFFFFF"/>
        </w:rPr>
        <w:t>. Princeton University Press, 2014.</w:t>
      </w:r>
    </w:p>
    <w:p w14:paraId="3E500DBD" w14:textId="77777777" w:rsidR="009D3F7B" w:rsidRPr="0073697B" w:rsidRDefault="009D3F7B" w:rsidP="00C97EF6">
      <w:pPr>
        <w:pStyle w:val="NoSpacing"/>
        <w:ind w:left="720" w:hanging="720"/>
        <w:jc w:val="both"/>
        <w:rPr>
          <w:rFonts w:ascii="Garamond" w:hAnsi="Garamond" w:cs="Arial"/>
          <w:color w:val="222222"/>
          <w:sz w:val="24"/>
          <w:szCs w:val="24"/>
          <w:shd w:val="clear" w:color="auto" w:fill="FFFFFF"/>
        </w:rPr>
      </w:pPr>
    </w:p>
    <w:p w14:paraId="202BE3C7" w14:textId="77777777" w:rsidR="009D3F7B" w:rsidRDefault="009D3F7B" w:rsidP="00E40426">
      <w:pPr>
        <w:pStyle w:val="NoSpacing"/>
        <w:numPr>
          <w:ilvl w:val="0"/>
          <w:numId w:val="17"/>
        </w:numPr>
        <w:jc w:val="both"/>
        <w:rPr>
          <w:rFonts w:ascii="Garamond" w:hAnsi="Garamond" w:cs="Arial"/>
          <w:color w:val="222222"/>
          <w:sz w:val="24"/>
          <w:szCs w:val="24"/>
          <w:shd w:val="clear" w:color="auto" w:fill="FFFFFF"/>
        </w:rPr>
      </w:pPr>
      <w:r w:rsidRPr="0073697B">
        <w:rPr>
          <w:rFonts w:ascii="Garamond" w:hAnsi="Garamond" w:cs="Arial"/>
          <w:color w:val="222222"/>
          <w:sz w:val="24"/>
          <w:szCs w:val="24"/>
          <w:shd w:val="clear" w:color="auto" w:fill="FFFFFF"/>
        </w:rPr>
        <w:t>Morgan, Stephen L., and Christopher Winship. </w:t>
      </w:r>
      <w:r w:rsidRPr="0073697B">
        <w:rPr>
          <w:rFonts w:ascii="Garamond" w:hAnsi="Garamond" w:cs="Arial"/>
          <w:i/>
          <w:iCs/>
          <w:color w:val="222222"/>
          <w:sz w:val="24"/>
          <w:szCs w:val="24"/>
          <w:shd w:val="clear" w:color="auto" w:fill="FFFFFF"/>
        </w:rPr>
        <w:t>Counterfactuals and causal inference</w:t>
      </w:r>
      <w:r w:rsidRPr="0073697B">
        <w:rPr>
          <w:rFonts w:ascii="Garamond" w:hAnsi="Garamond" w:cs="Arial"/>
          <w:color w:val="222222"/>
          <w:sz w:val="24"/>
          <w:szCs w:val="24"/>
          <w:shd w:val="clear" w:color="auto" w:fill="FFFFFF"/>
        </w:rPr>
        <w:t>. Cambridge University Press, 2015.</w:t>
      </w:r>
    </w:p>
    <w:p w14:paraId="52E7BAE3" w14:textId="77777777" w:rsidR="00CC7EF7" w:rsidRPr="00CC7EF7" w:rsidRDefault="00CC7EF7" w:rsidP="00E40426">
      <w:pPr>
        <w:pStyle w:val="NoSpacing"/>
        <w:numPr>
          <w:ilvl w:val="0"/>
          <w:numId w:val="17"/>
        </w:numPr>
        <w:jc w:val="both"/>
        <w:rPr>
          <w:rFonts w:ascii="Garamond" w:hAnsi="Garamond" w:cs="Arial"/>
          <w:color w:val="222222"/>
          <w:sz w:val="24"/>
          <w:szCs w:val="24"/>
          <w:shd w:val="clear" w:color="auto" w:fill="FFFFFF"/>
        </w:rPr>
      </w:pPr>
      <w:r w:rsidRPr="0073697B">
        <w:rPr>
          <w:rFonts w:ascii="Garamond" w:hAnsi="Garamond" w:cs="Arial"/>
          <w:color w:val="222222"/>
          <w:sz w:val="24"/>
          <w:szCs w:val="24"/>
          <w:shd w:val="clear" w:color="auto" w:fill="FFFFFF"/>
        </w:rPr>
        <w:t>Imbens, Guido W., and Donald B. Rubin. </w:t>
      </w:r>
      <w:r w:rsidRPr="0073697B">
        <w:rPr>
          <w:rFonts w:ascii="Garamond" w:hAnsi="Garamond" w:cs="Arial"/>
          <w:i/>
          <w:iCs/>
          <w:color w:val="222222"/>
          <w:sz w:val="24"/>
          <w:szCs w:val="24"/>
          <w:shd w:val="clear" w:color="auto" w:fill="FFFFFF"/>
        </w:rPr>
        <w:t>Causal inference in statistics, social, and biomedical sciences</w:t>
      </w:r>
      <w:r w:rsidRPr="0073697B">
        <w:rPr>
          <w:rFonts w:ascii="Garamond" w:hAnsi="Garamond" w:cs="Arial"/>
          <w:color w:val="222222"/>
          <w:sz w:val="24"/>
          <w:szCs w:val="24"/>
          <w:shd w:val="clear" w:color="auto" w:fill="FFFFFF"/>
        </w:rPr>
        <w:t>. Cambridge University Press, 2015.</w:t>
      </w:r>
    </w:p>
    <w:p w14:paraId="1EF98270" w14:textId="77777777" w:rsidR="009D3F7B" w:rsidRPr="0073697B" w:rsidRDefault="009D3F7B" w:rsidP="00C97EF6">
      <w:pPr>
        <w:pStyle w:val="NoSpacing"/>
        <w:ind w:left="720" w:hanging="720"/>
        <w:jc w:val="both"/>
        <w:rPr>
          <w:rFonts w:ascii="Garamond" w:hAnsi="Garamond" w:cs="Arial"/>
          <w:color w:val="222222"/>
          <w:sz w:val="24"/>
          <w:szCs w:val="24"/>
          <w:shd w:val="clear" w:color="auto" w:fill="FFFFFF"/>
        </w:rPr>
      </w:pPr>
    </w:p>
    <w:p w14:paraId="650DD2B5" w14:textId="77777777" w:rsidR="00C849A4" w:rsidRPr="0073697B" w:rsidRDefault="00C849A4" w:rsidP="00C97EF6">
      <w:pPr>
        <w:pStyle w:val="NoSpacing"/>
        <w:jc w:val="both"/>
        <w:rPr>
          <w:rFonts w:ascii="Garamond" w:hAnsi="Garamond" w:cs="Times New Roman"/>
          <w:b/>
          <w:sz w:val="24"/>
          <w:szCs w:val="24"/>
        </w:rPr>
      </w:pPr>
      <w:r w:rsidRPr="0073697B">
        <w:rPr>
          <w:rFonts w:ascii="Garamond" w:hAnsi="Garamond" w:cs="Times New Roman"/>
          <w:b/>
          <w:sz w:val="24"/>
          <w:szCs w:val="24"/>
        </w:rPr>
        <w:t>Course Objectives:</w:t>
      </w:r>
    </w:p>
    <w:p w14:paraId="5E5969A8" w14:textId="77777777" w:rsidR="001E6C02" w:rsidRPr="0073697B" w:rsidRDefault="001E6C02" w:rsidP="00C97EF6">
      <w:pPr>
        <w:pStyle w:val="NoSpacing"/>
        <w:jc w:val="both"/>
        <w:rPr>
          <w:rFonts w:ascii="Garamond" w:hAnsi="Garamond" w:cs="Times New Roman"/>
          <w:b/>
          <w:sz w:val="24"/>
          <w:szCs w:val="24"/>
        </w:rPr>
      </w:pPr>
    </w:p>
    <w:p w14:paraId="27372E32" w14:textId="77777777" w:rsidR="001E6C02" w:rsidRPr="0073697B" w:rsidRDefault="001E6C02" w:rsidP="00C97EF6">
      <w:pPr>
        <w:pStyle w:val="NoSpacing"/>
        <w:numPr>
          <w:ilvl w:val="0"/>
          <w:numId w:val="13"/>
        </w:numPr>
        <w:jc w:val="both"/>
        <w:rPr>
          <w:rFonts w:ascii="Garamond" w:hAnsi="Garamond" w:cs="Arial"/>
          <w:color w:val="222222"/>
          <w:sz w:val="24"/>
          <w:szCs w:val="24"/>
          <w:shd w:val="clear" w:color="auto" w:fill="FFFFFF"/>
        </w:rPr>
      </w:pPr>
      <w:r w:rsidRPr="0073697B">
        <w:rPr>
          <w:rFonts w:ascii="Garamond" w:hAnsi="Garamond" w:cs="Arial"/>
          <w:color w:val="222222"/>
          <w:sz w:val="24"/>
          <w:szCs w:val="24"/>
          <w:shd w:val="clear" w:color="auto" w:fill="FFFFFF"/>
        </w:rPr>
        <w:t>Become familiar with counterfactual thinking and potential outcomes in the areas you study;</w:t>
      </w:r>
    </w:p>
    <w:p w14:paraId="0AF3F7AE" w14:textId="1C15978D" w:rsidR="00517E4E" w:rsidRDefault="00517E4E" w:rsidP="00C97EF6">
      <w:pPr>
        <w:pStyle w:val="NoSpacing"/>
        <w:numPr>
          <w:ilvl w:val="0"/>
          <w:numId w:val="13"/>
        </w:numPr>
        <w:jc w:val="both"/>
        <w:rPr>
          <w:rFonts w:ascii="Garamond" w:hAnsi="Garamond" w:cs="Arial"/>
          <w:color w:val="222222"/>
          <w:sz w:val="24"/>
          <w:szCs w:val="24"/>
          <w:shd w:val="clear" w:color="auto" w:fill="FFFFFF"/>
        </w:rPr>
      </w:pPr>
      <w:r>
        <w:rPr>
          <w:rFonts w:ascii="Garamond" w:hAnsi="Garamond" w:cs="Arial"/>
          <w:color w:val="222222"/>
          <w:sz w:val="24"/>
          <w:szCs w:val="24"/>
          <w:shd w:val="clear" w:color="auto" w:fill="FFFFFF"/>
        </w:rPr>
        <w:t>Gain</w:t>
      </w:r>
      <w:r w:rsidR="002E66AE">
        <w:rPr>
          <w:rFonts w:ascii="Garamond" w:hAnsi="Garamond" w:cs="Arial"/>
          <w:color w:val="222222"/>
          <w:sz w:val="24"/>
          <w:szCs w:val="24"/>
          <w:shd w:val="clear" w:color="auto" w:fill="FFFFFF"/>
        </w:rPr>
        <w:t xml:space="preserve"> presentation and coding skills</w:t>
      </w:r>
      <w:r w:rsidR="00ED3CE3">
        <w:rPr>
          <w:rFonts w:ascii="Garamond" w:hAnsi="Garamond" w:cs="Arial"/>
          <w:color w:val="222222"/>
          <w:sz w:val="24"/>
          <w:szCs w:val="24"/>
          <w:shd w:val="clear" w:color="auto" w:fill="FFFFFF"/>
        </w:rPr>
        <w:t>;</w:t>
      </w:r>
    </w:p>
    <w:p w14:paraId="4C717493" w14:textId="1CF0FAE4" w:rsidR="001E6C02" w:rsidRDefault="001E6C02" w:rsidP="00C97EF6">
      <w:pPr>
        <w:pStyle w:val="NoSpacing"/>
        <w:numPr>
          <w:ilvl w:val="0"/>
          <w:numId w:val="13"/>
        </w:numPr>
        <w:jc w:val="both"/>
        <w:rPr>
          <w:rFonts w:ascii="Garamond" w:hAnsi="Garamond" w:cs="Arial"/>
          <w:color w:val="222222"/>
          <w:sz w:val="24"/>
          <w:szCs w:val="24"/>
          <w:shd w:val="clear" w:color="auto" w:fill="FFFFFF"/>
        </w:rPr>
      </w:pPr>
      <w:r w:rsidRPr="0073697B">
        <w:rPr>
          <w:rFonts w:ascii="Garamond" w:hAnsi="Garamond" w:cs="Arial"/>
          <w:color w:val="222222"/>
          <w:sz w:val="24"/>
          <w:szCs w:val="24"/>
          <w:shd w:val="clear" w:color="auto" w:fill="FFFFFF"/>
        </w:rPr>
        <w:t>Gain competency with canonical quasi-experimental methods used for generating causal inferences from observational data</w:t>
      </w:r>
      <w:r w:rsidR="00ED3CE3">
        <w:rPr>
          <w:rFonts w:ascii="Garamond" w:hAnsi="Garamond" w:cs="Arial"/>
          <w:color w:val="222222"/>
          <w:sz w:val="24"/>
          <w:szCs w:val="24"/>
          <w:shd w:val="clear" w:color="auto" w:fill="FFFFFF"/>
        </w:rPr>
        <w:t>.</w:t>
      </w:r>
    </w:p>
    <w:p w14:paraId="6C232746" w14:textId="77777777" w:rsidR="00ED3CE3" w:rsidRDefault="00ED3CE3" w:rsidP="00ED3CE3">
      <w:pPr>
        <w:pStyle w:val="NoSpacing"/>
        <w:jc w:val="both"/>
        <w:rPr>
          <w:rFonts w:ascii="Garamond" w:hAnsi="Garamond" w:cs="Arial"/>
          <w:color w:val="222222"/>
          <w:sz w:val="24"/>
          <w:szCs w:val="24"/>
          <w:shd w:val="clear" w:color="auto" w:fill="FFFFFF"/>
        </w:rPr>
      </w:pPr>
    </w:p>
    <w:p w14:paraId="08DA2740" w14:textId="77777777" w:rsidR="00ED3CE3" w:rsidRDefault="00ED3CE3" w:rsidP="00ED3CE3">
      <w:pPr>
        <w:pStyle w:val="NoSpacing"/>
        <w:jc w:val="both"/>
        <w:rPr>
          <w:rFonts w:ascii="Garamond" w:hAnsi="Garamond" w:cs="Arial"/>
          <w:color w:val="222222"/>
          <w:sz w:val="24"/>
          <w:szCs w:val="24"/>
          <w:shd w:val="clear" w:color="auto" w:fill="FFFFFF"/>
        </w:rPr>
      </w:pPr>
      <w:r>
        <w:rPr>
          <w:rFonts w:ascii="Garamond" w:hAnsi="Garamond" w:cs="Arial"/>
          <w:color w:val="222222"/>
          <w:sz w:val="24"/>
          <w:szCs w:val="24"/>
          <w:shd w:val="clear" w:color="auto" w:fill="FFFFFF"/>
        </w:rPr>
        <w:t>To accomplish these goals, the course includes four pedagogical components:</w:t>
      </w:r>
      <w:r>
        <w:rPr>
          <w:rFonts w:ascii="Garamond" w:hAnsi="Garamond" w:cs="Arial"/>
          <w:color w:val="222222"/>
          <w:sz w:val="24"/>
          <w:szCs w:val="24"/>
          <w:shd w:val="clear" w:color="auto" w:fill="FFFFFF"/>
        </w:rPr>
        <w:br/>
      </w:r>
    </w:p>
    <w:p w14:paraId="6FC1C476" w14:textId="77777777" w:rsidR="00581435" w:rsidRDefault="00ED3CE3" w:rsidP="006D4C07">
      <w:pPr>
        <w:pStyle w:val="NoSpacing"/>
        <w:numPr>
          <w:ilvl w:val="0"/>
          <w:numId w:val="19"/>
        </w:numPr>
        <w:jc w:val="both"/>
        <w:rPr>
          <w:rFonts w:ascii="Garamond" w:hAnsi="Garamond" w:cs="Arial"/>
          <w:color w:val="222222"/>
          <w:sz w:val="24"/>
          <w:szCs w:val="24"/>
          <w:shd w:val="clear" w:color="auto" w:fill="FFFFFF"/>
        </w:rPr>
      </w:pPr>
      <w:r w:rsidRPr="00581435">
        <w:rPr>
          <w:rFonts w:ascii="Garamond" w:hAnsi="Garamond" w:cs="Arial"/>
          <w:color w:val="222222"/>
          <w:sz w:val="24"/>
          <w:szCs w:val="24"/>
          <w:shd w:val="clear" w:color="auto" w:fill="FFFFFF"/>
        </w:rPr>
        <w:t>Faculty led presentation of complex material</w:t>
      </w:r>
    </w:p>
    <w:p w14:paraId="0D0888BB" w14:textId="77777777" w:rsidR="00581435" w:rsidRDefault="00ED3CE3" w:rsidP="006D4C07">
      <w:pPr>
        <w:pStyle w:val="NoSpacing"/>
        <w:numPr>
          <w:ilvl w:val="0"/>
          <w:numId w:val="15"/>
        </w:numPr>
        <w:jc w:val="both"/>
        <w:rPr>
          <w:rFonts w:ascii="Garamond" w:hAnsi="Garamond" w:cs="Arial"/>
          <w:color w:val="222222"/>
          <w:sz w:val="24"/>
          <w:szCs w:val="24"/>
          <w:shd w:val="clear" w:color="auto" w:fill="FFFFFF"/>
        </w:rPr>
      </w:pPr>
      <w:r w:rsidRPr="00581435">
        <w:rPr>
          <w:rFonts w:ascii="Garamond" w:hAnsi="Garamond" w:cs="Arial"/>
          <w:color w:val="222222"/>
          <w:sz w:val="24"/>
          <w:szCs w:val="24"/>
          <w:shd w:val="clear" w:color="auto" w:fill="FFFFFF"/>
        </w:rPr>
        <w:t>Engaged attendance</w:t>
      </w:r>
    </w:p>
    <w:p w14:paraId="59B15D6C" w14:textId="77777777" w:rsidR="00581435" w:rsidRDefault="00ED3CE3" w:rsidP="006D4C07">
      <w:pPr>
        <w:pStyle w:val="NoSpacing"/>
        <w:numPr>
          <w:ilvl w:val="0"/>
          <w:numId w:val="15"/>
        </w:numPr>
        <w:jc w:val="both"/>
        <w:rPr>
          <w:rFonts w:ascii="Garamond" w:hAnsi="Garamond" w:cs="Arial"/>
          <w:color w:val="222222"/>
          <w:sz w:val="24"/>
          <w:szCs w:val="24"/>
          <w:shd w:val="clear" w:color="auto" w:fill="FFFFFF"/>
        </w:rPr>
      </w:pPr>
      <w:r w:rsidRPr="00581435">
        <w:rPr>
          <w:rFonts w:ascii="Garamond" w:hAnsi="Garamond" w:cs="Arial"/>
          <w:color w:val="222222"/>
          <w:sz w:val="24"/>
          <w:szCs w:val="24"/>
          <w:shd w:val="clear" w:color="auto" w:fill="FFFFFF"/>
        </w:rPr>
        <w:t>Deep reading of exemplar papers</w:t>
      </w:r>
    </w:p>
    <w:p w14:paraId="276CBB00" w14:textId="1C2F3282" w:rsidR="00ED3CE3" w:rsidRPr="00581435" w:rsidRDefault="00ED3CE3" w:rsidP="006D4C07">
      <w:pPr>
        <w:pStyle w:val="NoSpacing"/>
        <w:numPr>
          <w:ilvl w:val="0"/>
          <w:numId w:val="15"/>
        </w:numPr>
        <w:jc w:val="both"/>
        <w:rPr>
          <w:rFonts w:ascii="Garamond" w:hAnsi="Garamond" w:cs="Arial"/>
          <w:color w:val="222222"/>
          <w:sz w:val="24"/>
          <w:szCs w:val="24"/>
          <w:shd w:val="clear" w:color="auto" w:fill="FFFFFF"/>
        </w:rPr>
      </w:pPr>
      <w:r w:rsidRPr="00581435">
        <w:rPr>
          <w:rFonts w:ascii="Garamond" w:hAnsi="Garamond" w:cs="Arial"/>
          <w:color w:val="222222"/>
          <w:sz w:val="24"/>
          <w:szCs w:val="24"/>
          <w:shd w:val="clear" w:color="auto" w:fill="FFFFFF"/>
        </w:rPr>
        <w:t>Analysis and replication using data</w:t>
      </w:r>
    </w:p>
    <w:p w14:paraId="17A2B589" w14:textId="581AFEF1" w:rsidR="00371342" w:rsidRDefault="00371342" w:rsidP="00371342">
      <w:pPr>
        <w:pStyle w:val="NoSpacing"/>
        <w:jc w:val="both"/>
        <w:rPr>
          <w:rFonts w:ascii="Garamond" w:hAnsi="Garamond" w:cs="Arial"/>
          <w:color w:val="222222"/>
          <w:sz w:val="24"/>
          <w:szCs w:val="24"/>
          <w:shd w:val="clear" w:color="auto" w:fill="FFFFFF"/>
        </w:rPr>
      </w:pPr>
    </w:p>
    <w:p w14:paraId="1EB349E8" w14:textId="6ACD30F0" w:rsidR="00371342" w:rsidRPr="0073697B" w:rsidRDefault="00371342" w:rsidP="00371342">
      <w:pPr>
        <w:pStyle w:val="NoSpacing"/>
        <w:jc w:val="both"/>
        <w:rPr>
          <w:rFonts w:ascii="Garamond" w:hAnsi="Garamond" w:cs="Arial"/>
          <w:color w:val="222222"/>
          <w:sz w:val="24"/>
          <w:szCs w:val="24"/>
          <w:shd w:val="clear" w:color="auto" w:fill="FFFFFF"/>
        </w:rPr>
      </w:pPr>
      <w:r>
        <w:rPr>
          <w:rFonts w:ascii="Garamond" w:hAnsi="Garamond" w:cs="Arial"/>
          <w:color w:val="222222"/>
          <w:sz w:val="24"/>
          <w:szCs w:val="24"/>
          <w:shd w:val="clear" w:color="auto" w:fill="FFFFFF"/>
        </w:rPr>
        <w:t xml:space="preserve">Each of these components are reflected in the syllabus. Most weeks, I will present materials in a lecture format (with opportunities for questions) in which I provide motivation, examples, simulation, code, and formal proof of the various research strategies. You will benefit by having read the required course material. To supplement this “passive” consumption of information, students will also take active part in reading and sharing research strategies taken from some of the best examples of a research method available. Finally, students will put this new knowledge to use by taking published papers, some example code, and replication data and implementing the methodology. These replication exercises are where you “put the knowledge to the test,” so to speak. Some of these problem sets will be completed on your own (or in groups), but we will always dedicate one class meeting as a “laboratory session,” where questions can be asked and answered. </w:t>
      </w:r>
    </w:p>
    <w:p w14:paraId="3792053E" w14:textId="77777777" w:rsidR="009041D2" w:rsidRPr="0073697B" w:rsidRDefault="009041D2" w:rsidP="00C97EF6">
      <w:pPr>
        <w:pStyle w:val="NoSpacing"/>
        <w:ind w:left="720"/>
        <w:jc w:val="both"/>
        <w:rPr>
          <w:rFonts w:ascii="Garamond" w:eastAsia="Times New Roman" w:hAnsi="Garamond" w:cs="Times New Roman"/>
          <w:color w:val="222222"/>
          <w:sz w:val="24"/>
          <w:szCs w:val="24"/>
          <w:shd w:val="clear" w:color="auto" w:fill="FFFFFF"/>
        </w:rPr>
      </w:pPr>
    </w:p>
    <w:p w14:paraId="77DFED31" w14:textId="231C8295" w:rsidR="003E20D7" w:rsidRPr="004F1161" w:rsidRDefault="004F1161" w:rsidP="00C97EF6">
      <w:pPr>
        <w:shd w:val="clear" w:color="auto" w:fill="FFFFFF"/>
        <w:spacing w:after="0"/>
        <w:jc w:val="both"/>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 xml:space="preserve">Course Requirements and Grading - </w:t>
      </w:r>
      <w:r w:rsidR="003E20D7" w:rsidRPr="003E20D7">
        <w:rPr>
          <w:rFonts w:ascii="Garamond" w:eastAsia="Times New Roman" w:hAnsi="Garamond" w:cs="Times New Roman"/>
          <w:color w:val="000000"/>
          <w:sz w:val="24"/>
          <w:szCs w:val="24"/>
        </w:rPr>
        <w:t xml:space="preserve">Students </w:t>
      </w:r>
      <w:r w:rsidR="003E20D7">
        <w:rPr>
          <w:rFonts w:ascii="Garamond" w:eastAsia="Times New Roman" w:hAnsi="Garamond" w:cs="Times New Roman"/>
          <w:color w:val="000000"/>
          <w:sz w:val="24"/>
          <w:szCs w:val="24"/>
        </w:rPr>
        <w:t>will be evaluated based on the following four expectations: attendance/participation (</w:t>
      </w:r>
      <w:r w:rsidR="00462D2B">
        <w:rPr>
          <w:rFonts w:ascii="Garamond" w:eastAsia="Times New Roman" w:hAnsi="Garamond" w:cs="Times New Roman"/>
          <w:color w:val="000000"/>
          <w:sz w:val="24"/>
          <w:szCs w:val="24"/>
        </w:rPr>
        <w:t>25</w:t>
      </w:r>
      <w:r w:rsidR="003E20D7">
        <w:rPr>
          <w:rFonts w:ascii="Garamond" w:eastAsia="Times New Roman" w:hAnsi="Garamond" w:cs="Times New Roman"/>
          <w:color w:val="000000"/>
          <w:sz w:val="24"/>
          <w:szCs w:val="24"/>
        </w:rPr>
        <w:t>%), individual presentations (</w:t>
      </w:r>
      <w:r w:rsidR="00462D2B">
        <w:rPr>
          <w:rFonts w:ascii="Garamond" w:eastAsia="Times New Roman" w:hAnsi="Garamond" w:cs="Times New Roman"/>
          <w:color w:val="000000"/>
          <w:sz w:val="24"/>
          <w:szCs w:val="24"/>
        </w:rPr>
        <w:t>30</w:t>
      </w:r>
      <w:r w:rsidR="003E20D7">
        <w:rPr>
          <w:rFonts w:ascii="Garamond" w:eastAsia="Times New Roman" w:hAnsi="Garamond" w:cs="Times New Roman"/>
          <w:color w:val="000000"/>
          <w:sz w:val="24"/>
          <w:szCs w:val="24"/>
        </w:rPr>
        <w:t xml:space="preserve">%), </w:t>
      </w:r>
      <w:r w:rsidR="00462D2B">
        <w:rPr>
          <w:rFonts w:ascii="Garamond" w:eastAsia="Times New Roman" w:hAnsi="Garamond" w:cs="Times New Roman"/>
          <w:color w:val="000000"/>
          <w:sz w:val="24"/>
          <w:szCs w:val="24"/>
        </w:rPr>
        <w:t xml:space="preserve">and </w:t>
      </w:r>
      <w:r w:rsidR="003E20D7">
        <w:rPr>
          <w:rFonts w:ascii="Garamond" w:eastAsia="Times New Roman" w:hAnsi="Garamond" w:cs="Times New Roman"/>
          <w:color w:val="000000"/>
          <w:sz w:val="24"/>
          <w:szCs w:val="24"/>
        </w:rPr>
        <w:t>problem sets (</w:t>
      </w:r>
      <w:r w:rsidR="00462D2B">
        <w:rPr>
          <w:rFonts w:ascii="Garamond" w:eastAsia="Times New Roman" w:hAnsi="Garamond" w:cs="Times New Roman"/>
          <w:color w:val="000000"/>
          <w:sz w:val="24"/>
          <w:szCs w:val="24"/>
        </w:rPr>
        <w:t>45</w:t>
      </w:r>
      <w:r w:rsidR="003E20D7">
        <w:rPr>
          <w:rFonts w:ascii="Garamond" w:eastAsia="Times New Roman" w:hAnsi="Garamond" w:cs="Times New Roman"/>
          <w:color w:val="000000"/>
          <w:sz w:val="24"/>
          <w:szCs w:val="24"/>
        </w:rPr>
        <w:t>%). Details regarding these components are below.</w:t>
      </w:r>
    </w:p>
    <w:p w14:paraId="649B708D" w14:textId="77777777" w:rsidR="003E20D7" w:rsidRPr="003E20D7" w:rsidRDefault="003E20D7" w:rsidP="00C97EF6">
      <w:pPr>
        <w:shd w:val="clear" w:color="auto" w:fill="FFFFFF"/>
        <w:spacing w:after="0"/>
        <w:jc w:val="both"/>
        <w:rPr>
          <w:rFonts w:ascii="Garamond" w:eastAsia="Times New Roman" w:hAnsi="Garamond" w:cs="Times New Roman"/>
          <w:color w:val="000000"/>
          <w:sz w:val="24"/>
          <w:szCs w:val="24"/>
        </w:rPr>
      </w:pPr>
    </w:p>
    <w:p w14:paraId="3A39C5E3" w14:textId="3E6804F2" w:rsidR="00A13F5F" w:rsidRPr="003E20D7" w:rsidRDefault="008C6610" w:rsidP="00C97EF6">
      <w:pPr>
        <w:spacing w:after="0" w:line="240" w:lineRule="auto"/>
        <w:jc w:val="both"/>
        <w:rPr>
          <w:rFonts w:ascii="Garamond" w:eastAsia="Times New Roman" w:hAnsi="Garamond" w:cs="Times New Roman"/>
          <w:sz w:val="24"/>
          <w:szCs w:val="24"/>
          <w:lang w:eastAsia="ko-KR"/>
        </w:rPr>
      </w:pPr>
      <w:r w:rsidRPr="003E20D7">
        <w:rPr>
          <w:rFonts w:ascii="Garamond" w:eastAsia="Times New Roman" w:hAnsi="Garamond" w:cs="Times New Roman"/>
          <w:b/>
          <w:color w:val="000000"/>
          <w:sz w:val="24"/>
          <w:szCs w:val="24"/>
        </w:rPr>
        <w:t xml:space="preserve">A. </w:t>
      </w:r>
      <w:r w:rsidR="00A13F5F" w:rsidRPr="003E20D7">
        <w:rPr>
          <w:rFonts w:ascii="Garamond" w:eastAsia="Times New Roman" w:hAnsi="Garamond" w:cs="Times New Roman"/>
          <w:b/>
          <w:color w:val="000000"/>
          <w:sz w:val="24"/>
          <w:szCs w:val="24"/>
        </w:rPr>
        <w:t>Attendance</w:t>
      </w:r>
      <w:r w:rsidR="003E20D7">
        <w:rPr>
          <w:rFonts w:ascii="Garamond" w:eastAsia="Times New Roman" w:hAnsi="Garamond" w:cs="Times New Roman"/>
          <w:b/>
          <w:color w:val="000000"/>
          <w:sz w:val="24"/>
          <w:szCs w:val="24"/>
        </w:rPr>
        <w:t>, Participation</w:t>
      </w:r>
      <w:r w:rsidRPr="003E20D7">
        <w:rPr>
          <w:rFonts w:ascii="Garamond" w:eastAsia="Times New Roman" w:hAnsi="Garamond" w:cs="Times New Roman"/>
          <w:b/>
          <w:color w:val="000000"/>
          <w:sz w:val="24"/>
          <w:szCs w:val="24"/>
        </w:rPr>
        <w:t xml:space="preserve"> and Reading of Course Material</w:t>
      </w:r>
      <w:r w:rsidR="006418F5" w:rsidRPr="003E20D7">
        <w:rPr>
          <w:rFonts w:ascii="Garamond" w:eastAsia="Times New Roman" w:hAnsi="Garamond" w:cs="Times New Roman"/>
          <w:b/>
          <w:color w:val="000000"/>
          <w:sz w:val="24"/>
          <w:szCs w:val="24"/>
        </w:rPr>
        <w:t xml:space="preserve"> (</w:t>
      </w:r>
      <w:r w:rsidR="000657F9">
        <w:rPr>
          <w:rFonts w:ascii="Garamond" w:eastAsia="Times New Roman" w:hAnsi="Garamond" w:cs="Times New Roman"/>
          <w:b/>
          <w:color w:val="000000"/>
          <w:sz w:val="24"/>
          <w:szCs w:val="24"/>
        </w:rPr>
        <w:t>10</w:t>
      </w:r>
      <w:r w:rsidR="006418F5" w:rsidRPr="003E20D7">
        <w:rPr>
          <w:rFonts w:ascii="Garamond" w:eastAsia="Times New Roman" w:hAnsi="Garamond" w:cs="Times New Roman"/>
          <w:b/>
          <w:color w:val="000000"/>
          <w:sz w:val="24"/>
          <w:szCs w:val="24"/>
        </w:rPr>
        <w:t>%)</w:t>
      </w:r>
      <w:r w:rsidR="00A13F5F" w:rsidRPr="003E20D7">
        <w:rPr>
          <w:rFonts w:ascii="Garamond" w:eastAsia="Times New Roman" w:hAnsi="Garamond" w:cs="Times New Roman"/>
          <w:b/>
          <w:color w:val="000000"/>
          <w:sz w:val="24"/>
          <w:szCs w:val="24"/>
        </w:rPr>
        <w:t xml:space="preserve"> </w:t>
      </w:r>
      <w:r w:rsidR="00A13F5F" w:rsidRPr="003E20D7">
        <w:rPr>
          <w:rFonts w:ascii="Garamond" w:eastAsia="Times New Roman" w:hAnsi="Garamond" w:cs="Times New Roman"/>
          <w:sz w:val="24"/>
          <w:szCs w:val="24"/>
          <w:lang w:eastAsia="ko-KR"/>
        </w:rPr>
        <w:t xml:space="preserve">– </w:t>
      </w:r>
      <w:r w:rsidR="003E20D7">
        <w:rPr>
          <w:rFonts w:ascii="Garamond" w:eastAsia="Times New Roman" w:hAnsi="Garamond" w:cs="Times New Roman"/>
          <w:sz w:val="24"/>
          <w:szCs w:val="24"/>
          <w:lang w:eastAsia="ko-KR"/>
        </w:rPr>
        <w:t xml:space="preserve">Students are expected to attend every class (barring excused absences), to participate, and to read assigned </w:t>
      </w:r>
      <w:r w:rsidR="009125DB">
        <w:rPr>
          <w:rFonts w:ascii="Garamond" w:eastAsia="Times New Roman" w:hAnsi="Garamond" w:cs="Times New Roman"/>
          <w:sz w:val="24"/>
          <w:szCs w:val="24"/>
          <w:lang w:eastAsia="ko-KR"/>
        </w:rPr>
        <w:t xml:space="preserve">course material. Demonstrating attendance simply means coming to class on time. Demonstrating participation requires asking questions—both to me and </w:t>
      </w:r>
      <w:r w:rsidR="00680B60">
        <w:rPr>
          <w:rFonts w:ascii="Garamond" w:eastAsia="Times New Roman" w:hAnsi="Garamond" w:cs="Times New Roman"/>
          <w:sz w:val="24"/>
          <w:szCs w:val="24"/>
          <w:lang w:eastAsia="ko-KR"/>
        </w:rPr>
        <w:t xml:space="preserve">especially to </w:t>
      </w:r>
      <w:r w:rsidR="009125DB">
        <w:rPr>
          <w:rFonts w:ascii="Garamond" w:eastAsia="Times New Roman" w:hAnsi="Garamond" w:cs="Times New Roman"/>
          <w:sz w:val="24"/>
          <w:szCs w:val="24"/>
          <w:lang w:eastAsia="ko-KR"/>
        </w:rPr>
        <w:t xml:space="preserve">student presenters. Demonstrating reading of course material requires answering questions </w:t>
      </w:r>
      <w:r w:rsidR="001C1A70">
        <w:rPr>
          <w:rFonts w:ascii="Garamond" w:eastAsia="Times New Roman" w:hAnsi="Garamond" w:cs="Times New Roman"/>
          <w:sz w:val="24"/>
          <w:szCs w:val="24"/>
          <w:lang w:eastAsia="ko-KR"/>
        </w:rPr>
        <w:t xml:space="preserve">asked by me and other students. </w:t>
      </w:r>
      <w:r w:rsidR="00150A80">
        <w:rPr>
          <w:rFonts w:ascii="Garamond" w:eastAsia="Times New Roman" w:hAnsi="Garamond" w:cs="Times New Roman"/>
          <w:sz w:val="24"/>
          <w:szCs w:val="24"/>
          <w:lang w:eastAsia="ko-KR"/>
        </w:rPr>
        <w:t xml:space="preserve">The primary textbook for the course is the freely available </w:t>
      </w:r>
      <w:r w:rsidR="00150A80">
        <w:rPr>
          <w:rFonts w:ascii="Garamond" w:eastAsia="Times New Roman" w:hAnsi="Garamond" w:cs="Times New Roman"/>
          <w:i/>
          <w:sz w:val="24"/>
          <w:szCs w:val="24"/>
          <w:lang w:eastAsia="ko-KR"/>
        </w:rPr>
        <w:t xml:space="preserve">Mixtape </w:t>
      </w:r>
      <w:r w:rsidR="00150A80">
        <w:rPr>
          <w:rFonts w:ascii="Garamond" w:eastAsia="Times New Roman" w:hAnsi="Garamond" w:cs="Times New Roman"/>
          <w:sz w:val="24"/>
          <w:szCs w:val="24"/>
          <w:lang w:eastAsia="ko-KR"/>
        </w:rPr>
        <w:t xml:space="preserve">by Scott Cunningham. The </w:t>
      </w:r>
      <w:r w:rsidR="00150A80" w:rsidRPr="00150A80">
        <w:rPr>
          <w:rFonts w:ascii="Garamond" w:eastAsia="Times New Roman" w:hAnsi="Garamond" w:cs="Times New Roman"/>
          <w:i/>
          <w:sz w:val="24"/>
          <w:szCs w:val="24"/>
          <w:lang w:eastAsia="ko-KR"/>
        </w:rPr>
        <w:t>required</w:t>
      </w:r>
      <w:r w:rsidR="00150A80">
        <w:rPr>
          <w:rFonts w:ascii="Garamond" w:eastAsia="Times New Roman" w:hAnsi="Garamond" w:cs="Times New Roman"/>
          <w:sz w:val="24"/>
          <w:szCs w:val="24"/>
          <w:lang w:eastAsia="ko-KR"/>
        </w:rPr>
        <w:t xml:space="preserve"> readings are limited to Cunningham’s book</w:t>
      </w:r>
      <w:r w:rsidR="00A57B6C">
        <w:rPr>
          <w:rFonts w:ascii="Garamond" w:eastAsia="Times New Roman" w:hAnsi="Garamond" w:cs="Times New Roman"/>
          <w:sz w:val="24"/>
          <w:szCs w:val="24"/>
          <w:lang w:eastAsia="ko-KR"/>
        </w:rPr>
        <w:t xml:space="preserve"> and presentation papers</w:t>
      </w:r>
      <w:r w:rsidR="00150A80">
        <w:rPr>
          <w:rFonts w:ascii="Garamond" w:eastAsia="Times New Roman" w:hAnsi="Garamond" w:cs="Times New Roman"/>
          <w:sz w:val="24"/>
          <w:szCs w:val="24"/>
          <w:lang w:eastAsia="ko-KR"/>
        </w:rPr>
        <w:t>; I include supplemental readings in the syllabus for your references. Y</w:t>
      </w:r>
      <w:r w:rsidR="0040083D">
        <w:rPr>
          <w:rFonts w:ascii="Garamond" w:eastAsia="Times New Roman" w:hAnsi="Garamond" w:cs="Times New Roman"/>
          <w:sz w:val="24"/>
          <w:szCs w:val="24"/>
          <w:lang w:eastAsia="ko-KR"/>
        </w:rPr>
        <w:t xml:space="preserve">ou can earn up to </w:t>
      </w:r>
      <w:r w:rsidR="000657F9">
        <w:rPr>
          <w:rFonts w:ascii="Garamond" w:eastAsia="Times New Roman" w:hAnsi="Garamond" w:cs="Times New Roman"/>
          <w:sz w:val="24"/>
          <w:szCs w:val="24"/>
          <w:lang w:eastAsia="ko-KR"/>
        </w:rPr>
        <w:t xml:space="preserve">10 </w:t>
      </w:r>
      <w:r w:rsidR="0040083D">
        <w:rPr>
          <w:rFonts w:ascii="Garamond" w:eastAsia="Times New Roman" w:hAnsi="Garamond" w:cs="Times New Roman"/>
          <w:sz w:val="24"/>
          <w:szCs w:val="24"/>
          <w:lang w:eastAsia="ko-KR"/>
        </w:rPr>
        <w:t xml:space="preserve">points from these behaviors. </w:t>
      </w:r>
    </w:p>
    <w:p w14:paraId="5569682F" w14:textId="77777777" w:rsidR="00364987" w:rsidRPr="003E20D7" w:rsidRDefault="00364987" w:rsidP="00C97EF6">
      <w:pPr>
        <w:spacing w:after="0" w:line="240" w:lineRule="auto"/>
        <w:jc w:val="both"/>
        <w:rPr>
          <w:rFonts w:ascii="Garamond" w:eastAsia="Times New Roman" w:hAnsi="Garamond" w:cs="Times New Roman"/>
          <w:b/>
          <w:sz w:val="24"/>
          <w:szCs w:val="24"/>
          <w:lang w:eastAsia="ko-KR"/>
        </w:rPr>
      </w:pPr>
    </w:p>
    <w:p w14:paraId="47CEC14B" w14:textId="691A1D0F" w:rsidR="006418F5" w:rsidRPr="003E20D7" w:rsidRDefault="001B4C61" w:rsidP="00C97EF6">
      <w:pPr>
        <w:spacing w:after="0" w:line="240" w:lineRule="auto"/>
        <w:jc w:val="both"/>
        <w:rPr>
          <w:rFonts w:ascii="Garamond" w:eastAsia="Times New Roman" w:hAnsi="Garamond" w:cs="Times New Roman"/>
          <w:b/>
          <w:sz w:val="24"/>
          <w:szCs w:val="24"/>
          <w:lang w:eastAsia="ko-KR"/>
        </w:rPr>
      </w:pPr>
      <w:r w:rsidRPr="003E20D7">
        <w:rPr>
          <w:rFonts w:ascii="Garamond" w:eastAsia="Times New Roman" w:hAnsi="Garamond" w:cs="Times New Roman"/>
          <w:b/>
          <w:sz w:val="24"/>
          <w:szCs w:val="24"/>
          <w:lang w:eastAsia="ko-KR"/>
        </w:rPr>
        <w:lastRenderedPageBreak/>
        <w:t xml:space="preserve">B. </w:t>
      </w:r>
      <w:r w:rsidR="006418F5" w:rsidRPr="003E20D7">
        <w:rPr>
          <w:rFonts w:ascii="Garamond" w:eastAsia="Times New Roman" w:hAnsi="Garamond" w:cs="Times New Roman"/>
          <w:b/>
          <w:sz w:val="24"/>
          <w:szCs w:val="24"/>
          <w:lang w:eastAsia="ko-KR"/>
        </w:rPr>
        <w:t>Individual Presentations (</w:t>
      </w:r>
      <w:r w:rsidR="00C1590C">
        <w:rPr>
          <w:rFonts w:ascii="Garamond" w:eastAsia="Times New Roman" w:hAnsi="Garamond" w:cs="Times New Roman"/>
          <w:b/>
          <w:sz w:val="24"/>
          <w:szCs w:val="24"/>
          <w:lang w:eastAsia="ko-KR"/>
        </w:rPr>
        <w:t>30</w:t>
      </w:r>
      <w:r w:rsidR="006418F5" w:rsidRPr="003E20D7">
        <w:rPr>
          <w:rFonts w:ascii="Garamond" w:eastAsia="Times New Roman" w:hAnsi="Garamond" w:cs="Times New Roman"/>
          <w:b/>
          <w:sz w:val="24"/>
          <w:szCs w:val="24"/>
          <w:lang w:eastAsia="ko-KR"/>
        </w:rPr>
        <w:t xml:space="preserve">%) – </w:t>
      </w:r>
      <w:r w:rsidR="00993E95" w:rsidRPr="00993E95">
        <w:rPr>
          <w:rFonts w:ascii="Garamond" w:eastAsia="Times New Roman" w:hAnsi="Garamond" w:cs="Times New Roman"/>
          <w:sz w:val="24"/>
          <w:szCs w:val="24"/>
          <w:lang w:eastAsia="ko-KR"/>
        </w:rPr>
        <w:t xml:space="preserve">Students will </w:t>
      </w:r>
      <w:r w:rsidR="000D1210">
        <w:rPr>
          <w:rFonts w:ascii="Garamond" w:eastAsia="Times New Roman" w:hAnsi="Garamond" w:cs="Times New Roman"/>
          <w:sz w:val="24"/>
          <w:szCs w:val="24"/>
          <w:lang w:eastAsia="ko-KR"/>
        </w:rPr>
        <w:t xml:space="preserve">select </w:t>
      </w:r>
      <w:r w:rsidR="009A3AE4">
        <w:rPr>
          <w:rFonts w:ascii="Garamond" w:eastAsia="Times New Roman" w:hAnsi="Garamond" w:cs="Times New Roman"/>
          <w:sz w:val="24"/>
          <w:szCs w:val="24"/>
          <w:lang w:eastAsia="ko-KR"/>
        </w:rPr>
        <w:t xml:space="preserve">1—2 </w:t>
      </w:r>
      <w:r w:rsidR="00993E95">
        <w:rPr>
          <w:rFonts w:ascii="Garamond" w:eastAsia="Times New Roman" w:hAnsi="Garamond" w:cs="Times New Roman"/>
          <w:sz w:val="24"/>
          <w:szCs w:val="24"/>
          <w:lang w:eastAsia="ko-KR"/>
        </w:rPr>
        <w:t>paper</w:t>
      </w:r>
      <w:r w:rsidR="00542795">
        <w:rPr>
          <w:rFonts w:ascii="Garamond" w:eastAsia="Times New Roman" w:hAnsi="Garamond" w:cs="Times New Roman"/>
          <w:sz w:val="24"/>
          <w:szCs w:val="24"/>
          <w:lang w:eastAsia="ko-KR"/>
        </w:rPr>
        <w:t>s</w:t>
      </w:r>
      <w:r w:rsidR="000657F9">
        <w:rPr>
          <w:rFonts w:ascii="Garamond" w:eastAsia="Times New Roman" w:hAnsi="Garamond" w:cs="Times New Roman"/>
          <w:sz w:val="24"/>
          <w:szCs w:val="24"/>
          <w:lang w:eastAsia="ko-KR"/>
        </w:rPr>
        <w:t xml:space="preserve"> (this number can vary depending on enrollment)</w:t>
      </w:r>
      <w:r w:rsidR="00993E95">
        <w:rPr>
          <w:rFonts w:ascii="Garamond" w:eastAsia="Times New Roman" w:hAnsi="Garamond" w:cs="Times New Roman"/>
          <w:sz w:val="24"/>
          <w:szCs w:val="24"/>
          <w:lang w:eastAsia="ko-KR"/>
        </w:rPr>
        <w:t xml:space="preserve"> that they will present to the class</w:t>
      </w:r>
      <w:r w:rsidR="00FE6728">
        <w:rPr>
          <w:rFonts w:ascii="Garamond" w:eastAsia="Times New Roman" w:hAnsi="Garamond" w:cs="Times New Roman"/>
          <w:sz w:val="24"/>
          <w:szCs w:val="24"/>
          <w:lang w:eastAsia="ko-KR"/>
        </w:rPr>
        <w:t xml:space="preserve"> (although all students </w:t>
      </w:r>
      <w:r w:rsidR="004A6B12">
        <w:rPr>
          <w:rFonts w:ascii="Garamond" w:eastAsia="Times New Roman" w:hAnsi="Garamond" w:cs="Times New Roman"/>
          <w:sz w:val="24"/>
          <w:szCs w:val="24"/>
          <w:lang w:eastAsia="ko-KR"/>
        </w:rPr>
        <w:t xml:space="preserve">should </w:t>
      </w:r>
      <w:r w:rsidR="00FE6728">
        <w:rPr>
          <w:rFonts w:ascii="Garamond" w:eastAsia="Times New Roman" w:hAnsi="Garamond" w:cs="Times New Roman"/>
          <w:sz w:val="24"/>
          <w:szCs w:val="24"/>
          <w:lang w:eastAsia="ko-KR"/>
        </w:rPr>
        <w:t>read these papers, as specified above)</w:t>
      </w:r>
      <w:r w:rsidR="00993E95">
        <w:rPr>
          <w:rFonts w:ascii="Garamond" w:eastAsia="Times New Roman" w:hAnsi="Garamond" w:cs="Times New Roman"/>
          <w:sz w:val="24"/>
          <w:szCs w:val="24"/>
          <w:lang w:eastAsia="ko-KR"/>
        </w:rPr>
        <w:t xml:space="preserve">. </w:t>
      </w:r>
      <w:r w:rsidR="00AE6FCF">
        <w:rPr>
          <w:rFonts w:ascii="Garamond" w:eastAsia="Times New Roman" w:hAnsi="Garamond" w:cs="Times New Roman"/>
          <w:sz w:val="24"/>
          <w:szCs w:val="24"/>
          <w:lang w:eastAsia="ko-KR"/>
        </w:rPr>
        <w:t xml:space="preserve">Optimally, there will be two presentations per week. </w:t>
      </w:r>
      <w:r w:rsidR="00993E95">
        <w:rPr>
          <w:rFonts w:ascii="Garamond" w:eastAsia="Times New Roman" w:hAnsi="Garamond" w:cs="Times New Roman"/>
          <w:sz w:val="24"/>
          <w:szCs w:val="24"/>
          <w:lang w:eastAsia="ko-KR"/>
        </w:rPr>
        <w:t xml:space="preserve">The paper will be empirical and connected to the method discussed in that week. </w:t>
      </w:r>
      <w:r w:rsidR="00703B3B">
        <w:rPr>
          <w:rFonts w:ascii="Garamond" w:eastAsia="Times New Roman" w:hAnsi="Garamond" w:cs="Times New Roman"/>
          <w:sz w:val="24"/>
          <w:szCs w:val="24"/>
          <w:lang w:eastAsia="ko-KR"/>
        </w:rPr>
        <w:t xml:space="preserve">These presentations are </w:t>
      </w:r>
      <w:r w:rsidR="00986F73">
        <w:rPr>
          <w:rFonts w:ascii="Garamond" w:eastAsia="Times New Roman" w:hAnsi="Garamond" w:cs="Times New Roman"/>
          <w:sz w:val="24"/>
          <w:szCs w:val="24"/>
          <w:lang w:eastAsia="ko-KR"/>
        </w:rPr>
        <w:t>semi-</w:t>
      </w:r>
      <w:r w:rsidR="00703B3B">
        <w:rPr>
          <w:rFonts w:ascii="Garamond" w:eastAsia="Times New Roman" w:hAnsi="Garamond" w:cs="Times New Roman"/>
          <w:sz w:val="24"/>
          <w:szCs w:val="24"/>
          <w:lang w:eastAsia="ko-KR"/>
        </w:rPr>
        <w:t xml:space="preserve">formal and should </w:t>
      </w:r>
      <w:r w:rsidR="00986F73">
        <w:rPr>
          <w:rFonts w:ascii="Garamond" w:eastAsia="Times New Roman" w:hAnsi="Garamond" w:cs="Times New Roman"/>
          <w:sz w:val="24"/>
          <w:szCs w:val="24"/>
          <w:lang w:eastAsia="ko-KR"/>
        </w:rPr>
        <w:t xml:space="preserve">include slides (no more than 10) that allow you to explain the paper. </w:t>
      </w:r>
      <w:r w:rsidR="00993E95">
        <w:rPr>
          <w:rFonts w:ascii="Garamond" w:eastAsia="Times New Roman" w:hAnsi="Garamond" w:cs="Times New Roman"/>
          <w:sz w:val="24"/>
          <w:szCs w:val="24"/>
          <w:lang w:eastAsia="ko-KR"/>
        </w:rPr>
        <w:t>The presentations shoul</w:t>
      </w:r>
      <w:r w:rsidR="002273D4">
        <w:rPr>
          <w:rFonts w:ascii="Garamond" w:eastAsia="Times New Roman" w:hAnsi="Garamond" w:cs="Times New Roman"/>
          <w:sz w:val="24"/>
          <w:szCs w:val="24"/>
          <w:lang w:eastAsia="ko-KR"/>
        </w:rPr>
        <w:t xml:space="preserve">d be about </w:t>
      </w:r>
      <w:r w:rsidR="00542795">
        <w:rPr>
          <w:rFonts w:ascii="Garamond" w:eastAsia="Times New Roman" w:hAnsi="Garamond" w:cs="Times New Roman"/>
          <w:sz w:val="24"/>
          <w:szCs w:val="24"/>
          <w:lang w:eastAsia="ko-KR"/>
        </w:rPr>
        <w:t>1</w:t>
      </w:r>
      <w:r w:rsidR="004B36DC">
        <w:rPr>
          <w:rFonts w:ascii="Garamond" w:eastAsia="Times New Roman" w:hAnsi="Garamond" w:cs="Times New Roman"/>
          <w:sz w:val="24"/>
          <w:szCs w:val="24"/>
          <w:lang w:eastAsia="ko-KR"/>
        </w:rPr>
        <w:t>5</w:t>
      </w:r>
      <w:r w:rsidR="00542795">
        <w:rPr>
          <w:rFonts w:ascii="Garamond" w:eastAsia="Times New Roman" w:hAnsi="Garamond" w:cs="Times New Roman"/>
          <w:sz w:val="24"/>
          <w:szCs w:val="24"/>
          <w:lang w:eastAsia="ko-KR"/>
        </w:rPr>
        <w:t>-</w:t>
      </w:r>
      <w:r w:rsidR="004B36DC">
        <w:rPr>
          <w:rFonts w:ascii="Garamond" w:eastAsia="Times New Roman" w:hAnsi="Garamond" w:cs="Times New Roman"/>
          <w:sz w:val="24"/>
          <w:szCs w:val="24"/>
          <w:lang w:eastAsia="ko-KR"/>
        </w:rPr>
        <w:t>20</w:t>
      </w:r>
      <w:r w:rsidR="002273D4">
        <w:rPr>
          <w:rFonts w:ascii="Garamond" w:eastAsia="Times New Roman" w:hAnsi="Garamond" w:cs="Times New Roman"/>
          <w:sz w:val="24"/>
          <w:szCs w:val="24"/>
          <w:lang w:eastAsia="ko-KR"/>
        </w:rPr>
        <w:t xml:space="preserve"> minutes in length, and we will have 5-10 minutes following the presentation for questions and discussion. The presentations should mostly discuss the data and methods of the assigned paper; the research question and results should be quickly summarized. It is not expected that students will have an exhaustive understanding of the method demonstrated in the paper, and it is ok for students to conclude with questions and</w:t>
      </w:r>
      <w:r w:rsidR="00680B60">
        <w:rPr>
          <w:rFonts w:ascii="Garamond" w:eastAsia="Times New Roman" w:hAnsi="Garamond" w:cs="Times New Roman"/>
          <w:sz w:val="24"/>
          <w:szCs w:val="24"/>
          <w:lang w:eastAsia="ko-KR"/>
        </w:rPr>
        <w:t xml:space="preserve"> leave clarifying questions open for discussion</w:t>
      </w:r>
      <w:r w:rsidR="002273D4">
        <w:rPr>
          <w:rFonts w:ascii="Garamond" w:eastAsia="Times New Roman" w:hAnsi="Garamond" w:cs="Times New Roman"/>
          <w:sz w:val="24"/>
          <w:szCs w:val="24"/>
          <w:lang w:eastAsia="ko-KR"/>
        </w:rPr>
        <w:t xml:space="preserve">. </w:t>
      </w:r>
      <w:r w:rsidR="0056342A">
        <w:rPr>
          <w:rFonts w:ascii="Garamond" w:eastAsia="Times New Roman" w:hAnsi="Garamond" w:cs="Times New Roman"/>
          <w:sz w:val="24"/>
          <w:szCs w:val="24"/>
          <w:lang w:eastAsia="ko-KR"/>
        </w:rPr>
        <w:t xml:space="preserve">Finally, please note that the papers are selected based on </w:t>
      </w:r>
      <w:r w:rsidR="00680B60">
        <w:rPr>
          <w:rFonts w:ascii="Garamond" w:eastAsia="Times New Roman" w:hAnsi="Garamond" w:cs="Times New Roman"/>
          <w:sz w:val="24"/>
          <w:szCs w:val="24"/>
          <w:lang w:eastAsia="ko-KR"/>
        </w:rPr>
        <w:t xml:space="preserve">(as best as I was able to find) </w:t>
      </w:r>
      <w:r w:rsidR="0056342A">
        <w:rPr>
          <w:rFonts w:ascii="Garamond" w:eastAsia="Times New Roman" w:hAnsi="Garamond" w:cs="Times New Roman"/>
          <w:sz w:val="24"/>
          <w:szCs w:val="24"/>
          <w:lang w:eastAsia="ko-KR"/>
        </w:rPr>
        <w:t xml:space="preserve">topical overlap </w:t>
      </w:r>
      <w:r w:rsidR="00542795">
        <w:rPr>
          <w:rFonts w:ascii="Garamond" w:eastAsia="Times New Roman" w:hAnsi="Garamond" w:cs="Times New Roman"/>
          <w:sz w:val="24"/>
          <w:szCs w:val="24"/>
          <w:lang w:eastAsia="ko-KR"/>
        </w:rPr>
        <w:t xml:space="preserve">with public policy, education, and human development, </w:t>
      </w:r>
      <w:r w:rsidR="0056342A">
        <w:rPr>
          <w:rFonts w:ascii="Garamond" w:eastAsia="Times New Roman" w:hAnsi="Garamond" w:cs="Times New Roman"/>
          <w:sz w:val="24"/>
          <w:szCs w:val="24"/>
          <w:lang w:eastAsia="ko-KR"/>
        </w:rPr>
        <w:t>as well as methodology</w:t>
      </w:r>
      <w:r w:rsidR="00680B60">
        <w:rPr>
          <w:rFonts w:ascii="Garamond" w:eastAsia="Times New Roman" w:hAnsi="Garamond" w:cs="Times New Roman"/>
          <w:sz w:val="24"/>
          <w:szCs w:val="24"/>
          <w:lang w:eastAsia="ko-KR"/>
        </w:rPr>
        <w:t xml:space="preserve">. </w:t>
      </w:r>
      <w:r w:rsidR="00542795">
        <w:rPr>
          <w:rFonts w:ascii="Garamond" w:eastAsia="Times New Roman" w:hAnsi="Garamond" w:cs="Times New Roman"/>
          <w:sz w:val="24"/>
          <w:szCs w:val="24"/>
          <w:lang w:eastAsia="ko-KR"/>
        </w:rPr>
        <w:t>Each</w:t>
      </w:r>
      <w:r w:rsidR="00A35E93">
        <w:rPr>
          <w:rFonts w:ascii="Garamond" w:eastAsia="Times New Roman" w:hAnsi="Garamond" w:cs="Times New Roman"/>
          <w:sz w:val="24"/>
          <w:szCs w:val="24"/>
          <w:lang w:eastAsia="ko-KR"/>
        </w:rPr>
        <w:t xml:space="preserve"> presentation is worth </w:t>
      </w:r>
      <w:r w:rsidR="00C725BB">
        <w:rPr>
          <w:rFonts w:ascii="Garamond" w:eastAsia="Times New Roman" w:hAnsi="Garamond" w:cs="Times New Roman"/>
          <w:sz w:val="24"/>
          <w:szCs w:val="24"/>
          <w:lang w:eastAsia="ko-KR"/>
        </w:rPr>
        <w:t>15</w:t>
      </w:r>
      <w:r w:rsidR="00A35E93">
        <w:rPr>
          <w:rFonts w:ascii="Garamond" w:eastAsia="Times New Roman" w:hAnsi="Garamond" w:cs="Times New Roman"/>
          <w:sz w:val="24"/>
          <w:szCs w:val="24"/>
          <w:lang w:eastAsia="ko-KR"/>
        </w:rPr>
        <w:t xml:space="preserve"> points</w:t>
      </w:r>
      <w:r w:rsidR="00542795">
        <w:rPr>
          <w:rFonts w:ascii="Garamond" w:eastAsia="Times New Roman" w:hAnsi="Garamond" w:cs="Times New Roman"/>
          <w:sz w:val="24"/>
          <w:szCs w:val="24"/>
          <w:lang w:eastAsia="ko-KR"/>
        </w:rPr>
        <w:t xml:space="preserve"> for a total of 30 points</w:t>
      </w:r>
      <w:r w:rsidR="00A35E93">
        <w:rPr>
          <w:rFonts w:ascii="Garamond" w:eastAsia="Times New Roman" w:hAnsi="Garamond" w:cs="Times New Roman"/>
          <w:sz w:val="24"/>
          <w:szCs w:val="24"/>
          <w:lang w:eastAsia="ko-KR"/>
        </w:rPr>
        <w:t>.</w:t>
      </w:r>
    </w:p>
    <w:p w14:paraId="61DA3B80" w14:textId="77777777" w:rsidR="006418F5" w:rsidRPr="003E20D7" w:rsidRDefault="006418F5" w:rsidP="00C97EF6">
      <w:pPr>
        <w:spacing w:after="0" w:line="240" w:lineRule="auto"/>
        <w:jc w:val="both"/>
        <w:rPr>
          <w:rFonts w:ascii="Garamond" w:eastAsia="Times New Roman" w:hAnsi="Garamond" w:cs="Times New Roman"/>
          <w:b/>
          <w:sz w:val="24"/>
          <w:szCs w:val="24"/>
          <w:lang w:eastAsia="ko-KR"/>
        </w:rPr>
      </w:pPr>
    </w:p>
    <w:p w14:paraId="0C2994DD" w14:textId="5E711CCA" w:rsidR="006418F5" w:rsidRDefault="006418F5" w:rsidP="00C97EF6">
      <w:pPr>
        <w:spacing w:after="0" w:line="240" w:lineRule="auto"/>
        <w:jc w:val="both"/>
        <w:rPr>
          <w:rFonts w:ascii="Garamond" w:eastAsia="Times New Roman" w:hAnsi="Garamond" w:cs="Times New Roman"/>
          <w:sz w:val="24"/>
          <w:szCs w:val="24"/>
          <w:lang w:eastAsia="ko-KR"/>
        </w:rPr>
      </w:pPr>
      <w:r w:rsidRPr="003E20D7">
        <w:rPr>
          <w:rFonts w:ascii="Garamond" w:eastAsia="Times New Roman" w:hAnsi="Garamond" w:cs="Times New Roman"/>
          <w:b/>
          <w:sz w:val="24"/>
          <w:szCs w:val="24"/>
          <w:lang w:eastAsia="ko-KR"/>
        </w:rPr>
        <w:t>C. Problem Sets (</w:t>
      </w:r>
      <w:r w:rsidR="000657F9">
        <w:rPr>
          <w:rFonts w:ascii="Garamond" w:eastAsia="Times New Roman" w:hAnsi="Garamond" w:cs="Times New Roman"/>
          <w:b/>
          <w:sz w:val="24"/>
          <w:szCs w:val="24"/>
          <w:lang w:eastAsia="ko-KR"/>
        </w:rPr>
        <w:t>60</w:t>
      </w:r>
      <w:r w:rsidRPr="003E20D7">
        <w:rPr>
          <w:rFonts w:ascii="Garamond" w:eastAsia="Times New Roman" w:hAnsi="Garamond" w:cs="Times New Roman"/>
          <w:b/>
          <w:sz w:val="24"/>
          <w:szCs w:val="24"/>
          <w:lang w:eastAsia="ko-KR"/>
        </w:rPr>
        <w:t xml:space="preserve">%) – </w:t>
      </w:r>
      <w:r w:rsidR="000657F9">
        <w:rPr>
          <w:rFonts w:ascii="Garamond" w:eastAsia="Times New Roman" w:hAnsi="Garamond" w:cs="Times New Roman"/>
          <w:bCs/>
          <w:sz w:val="24"/>
          <w:szCs w:val="24"/>
          <w:lang w:eastAsia="ko-KR"/>
        </w:rPr>
        <w:t xml:space="preserve">60 percent </w:t>
      </w:r>
      <w:r w:rsidR="002273D4">
        <w:rPr>
          <w:rFonts w:ascii="Garamond" w:eastAsia="Times New Roman" w:hAnsi="Garamond" w:cs="Times New Roman"/>
          <w:sz w:val="24"/>
          <w:szCs w:val="24"/>
          <w:lang w:eastAsia="ko-KR"/>
        </w:rPr>
        <w:t xml:space="preserve">of your grade is tied to </w:t>
      </w:r>
      <w:r w:rsidR="00663CA7" w:rsidRPr="001D7691">
        <w:rPr>
          <w:rFonts w:ascii="Garamond" w:eastAsia="Times New Roman" w:hAnsi="Garamond" w:cs="Times New Roman"/>
          <w:b/>
          <w:bCs/>
          <w:sz w:val="24"/>
          <w:szCs w:val="24"/>
          <w:lang w:eastAsia="ko-KR"/>
        </w:rPr>
        <w:t>4</w:t>
      </w:r>
      <w:r w:rsidR="002273D4">
        <w:rPr>
          <w:rFonts w:ascii="Garamond" w:eastAsia="Times New Roman" w:hAnsi="Garamond" w:cs="Times New Roman"/>
          <w:sz w:val="24"/>
          <w:szCs w:val="24"/>
          <w:lang w:eastAsia="ko-KR"/>
        </w:rPr>
        <w:t xml:space="preserve"> problem sets that will be distributed throughout the semester. </w:t>
      </w:r>
      <w:r w:rsidR="002B3840">
        <w:rPr>
          <w:rFonts w:ascii="Garamond" w:eastAsia="Times New Roman" w:hAnsi="Garamond" w:cs="Times New Roman"/>
          <w:sz w:val="24"/>
          <w:szCs w:val="24"/>
          <w:lang w:eastAsia="ko-KR"/>
        </w:rPr>
        <w:t xml:space="preserve">These problem sets </w:t>
      </w:r>
      <w:r w:rsidR="000657F9">
        <w:rPr>
          <w:rFonts w:ascii="Garamond" w:eastAsia="Times New Roman" w:hAnsi="Garamond" w:cs="Times New Roman"/>
          <w:sz w:val="24"/>
          <w:szCs w:val="24"/>
          <w:lang w:eastAsia="ko-KR"/>
        </w:rPr>
        <w:t xml:space="preserve">can </w:t>
      </w:r>
      <w:r w:rsidR="002B3840">
        <w:rPr>
          <w:rFonts w:ascii="Garamond" w:eastAsia="Times New Roman" w:hAnsi="Garamond" w:cs="Times New Roman"/>
          <w:sz w:val="24"/>
          <w:szCs w:val="24"/>
          <w:lang w:eastAsia="ko-KR"/>
        </w:rPr>
        <w:t xml:space="preserve">be completed individually </w:t>
      </w:r>
      <w:r w:rsidR="000657F9">
        <w:rPr>
          <w:rFonts w:ascii="Garamond" w:eastAsia="Times New Roman" w:hAnsi="Garamond" w:cs="Times New Roman"/>
          <w:sz w:val="24"/>
          <w:szCs w:val="24"/>
          <w:lang w:eastAsia="ko-KR"/>
        </w:rPr>
        <w:t xml:space="preserve">but preferably </w:t>
      </w:r>
      <w:r w:rsidR="002B3840">
        <w:rPr>
          <w:rFonts w:ascii="Garamond" w:eastAsia="Times New Roman" w:hAnsi="Garamond" w:cs="Times New Roman"/>
          <w:sz w:val="24"/>
          <w:szCs w:val="24"/>
          <w:lang w:eastAsia="ko-KR"/>
        </w:rPr>
        <w:t>in groups of 3</w:t>
      </w:r>
      <w:r w:rsidR="001335AC">
        <w:rPr>
          <w:rFonts w:ascii="Garamond" w:eastAsia="Times New Roman" w:hAnsi="Garamond" w:cs="Times New Roman"/>
          <w:sz w:val="24"/>
          <w:szCs w:val="24"/>
          <w:lang w:eastAsia="ko-KR"/>
        </w:rPr>
        <w:t>. We will have a “</w:t>
      </w:r>
      <w:r w:rsidR="0014218B">
        <w:rPr>
          <w:rFonts w:ascii="Garamond" w:eastAsia="Times New Roman" w:hAnsi="Garamond" w:cs="Times New Roman"/>
          <w:sz w:val="24"/>
          <w:szCs w:val="24"/>
          <w:lang w:eastAsia="ko-KR"/>
        </w:rPr>
        <w:t>presentation session</w:t>
      </w:r>
      <w:r w:rsidR="001335AC">
        <w:rPr>
          <w:rFonts w:ascii="Garamond" w:eastAsia="Times New Roman" w:hAnsi="Garamond" w:cs="Times New Roman"/>
          <w:sz w:val="24"/>
          <w:szCs w:val="24"/>
          <w:lang w:eastAsia="ko-KR"/>
        </w:rPr>
        <w:t xml:space="preserve">” two weeks after the problem sets are </w:t>
      </w:r>
      <w:r w:rsidR="000657F9">
        <w:rPr>
          <w:rFonts w:ascii="Garamond" w:eastAsia="Times New Roman" w:hAnsi="Garamond" w:cs="Times New Roman"/>
          <w:sz w:val="24"/>
          <w:szCs w:val="24"/>
          <w:lang w:eastAsia="ko-KR"/>
        </w:rPr>
        <w:t>assigned</w:t>
      </w:r>
      <w:r w:rsidR="001335AC">
        <w:rPr>
          <w:rFonts w:ascii="Garamond" w:eastAsia="Times New Roman" w:hAnsi="Garamond" w:cs="Times New Roman"/>
          <w:sz w:val="24"/>
          <w:szCs w:val="24"/>
          <w:lang w:eastAsia="ko-KR"/>
        </w:rPr>
        <w:t xml:space="preserve">. During this </w:t>
      </w:r>
      <w:r w:rsidR="000657F9">
        <w:rPr>
          <w:rFonts w:ascii="Garamond" w:eastAsia="Times New Roman" w:hAnsi="Garamond" w:cs="Times New Roman"/>
          <w:sz w:val="24"/>
          <w:szCs w:val="24"/>
          <w:lang w:eastAsia="ko-KR"/>
        </w:rPr>
        <w:t xml:space="preserve">presentation </w:t>
      </w:r>
      <w:r w:rsidR="001335AC">
        <w:rPr>
          <w:rFonts w:ascii="Garamond" w:eastAsia="Times New Roman" w:hAnsi="Garamond" w:cs="Times New Roman"/>
          <w:sz w:val="24"/>
          <w:szCs w:val="24"/>
          <w:lang w:eastAsia="ko-KR"/>
        </w:rPr>
        <w:t>session, students will share their strategies</w:t>
      </w:r>
      <w:r w:rsidR="000657F9">
        <w:rPr>
          <w:rFonts w:ascii="Garamond" w:eastAsia="Times New Roman" w:hAnsi="Garamond" w:cs="Times New Roman"/>
          <w:sz w:val="24"/>
          <w:szCs w:val="24"/>
          <w:lang w:eastAsia="ko-KR"/>
        </w:rPr>
        <w:t xml:space="preserve"> and results</w:t>
      </w:r>
      <w:r w:rsidR="001335AC">
        <w:rPr>
          <w:rFonts w:ascii="Garamond" w:eastAsia="Times New Roman" w:hAnsi="Garamond" w:cs="Times New Roman"/>
          <w:sz w:val="24"/>
          <w:szCs w:val="24"/>
          <w:lang w:eastAsia="ko-KR"/>
        </w:rPr>
        <w:t xml:space="preserve">. Problem sets will be submitted after the lab session is concluded by the end of the day. </w:t>
      </w:r>
      <w:r w:rsidR="002B3840">
        <w:rPr>
          <w:rFonts w:ascii="Garamond" w:eastAsia="Times New Roman" w:hAnsi="Garamond" w:cs="Times New Roman"/>
          <w:sz w:val="24"/>
          <w:szCs w:val="24"/>
          <w:lang w:eastAsia="ko-KR"/>
        </w:rPr>
        <w:t>Each group should submit one problem set, so that students choosing to work individually will submit</w:t>
      </w:r>
      <w:r w:rsidR="001335AC">
        <w:rPr>
          <w:rFonts w:ascii="Garamond" w:eastAsia="Times New Roman" w:hAnsi="Garamond" w:cs="Times New Roman"/>
          <w:sz w:val="24"/>
          <w:szCs w:val="24"/>
          <w:lang w:eastAsia="ko-KR"/>
        </w:rPr>
        <w:t xml:space="preserve"> one</w:t>
      </w:r>
      <w:r w:rsidR="002B3840">
        <w:rPr>
          <w:rFonts w:ascii="Garamond" w:eastAsia="Times New Roman" w:hAnsi="Garamond" w:cs="Times New Roman"/>
          <w:sz w:val="24"/>
          <w:szCs w:val="24"/>
          <w:lang w:eastAsia="ko-KR"/>
        </w:rPr>
        <w:t>, and if a group of 3 worked together, one problem set from that group will be submitted. All members of a group will receive the same grade. Groups do not need to remain fixed throughout the semester</w:t>
      </w:r>
      <w:r w:rsidR="000657F9">
        <w:rPr>
          <w:rFonts w:ascii="Garamond" w:eastAsia="Times New Roman" w:hAnsi="Garamond" w:cs="Times New Roman"/>
          <w:sz w:val="24"/>
          <w:szCs w:val="24"/>
          <w:lang w:eastAsia="ko-KR"/>
        </w:rPr>
        <w:t>, though they typically do</w:t>
      </w:r>
      <w:r w:rsidR="002B3840">
        <w:rPr>
          <w:rFonts w:ascii="Garamond" w:eastAsia="Times New Roman" w:hAnsi="Garamond" w:cs="Times New Roman"/>
          <w:sz w:val="24"/>
          <w:szCs w:val="24"/>
          <w:lang w:eastAsia="ko-KR"/>
        </w:rPr>
        <w:t xml:space="preserve">. </w:t>
      </w:r>
      <w:r w:rsidR="002273D4">
        <w:rPr>
          <w:rFonts w:ascii="Garamond" w:eastAsia="Times New Roman" w:hAnsi="Garamond" w:cs="Times New Roman"/>
          <w:sz w:val="24"/>
          <w:szCs w:val="24"/>
          <w:lang w:eastAsia="ko-KR"/>
        </w:rPr>
        <w:t xml:space="preserve">For each problem set there will be approximately 5 questions. Problem sets include conceptual questions and replication. Students will be given an academic paper, data, and some preliminary syntax that they will use to analyze the data. </w:t>
      </w:r>
      <w:r w:rsidR="006A6B54">
        <w:rPr>
          <w:rFonts w:ascii="Garamond" w:eastAsia="Times New Roman" w:hAnsi="Garamond" w:cs="Times New Roman"/>
          <w:sz w:val="24"/>
          <w:szCs w:val="24"/>
          <w:lang w:eastAsia="ko-KR"/>
        </w:rPr>
        <w:t xml:space="preserve">Tables and figures should be </w:t>
      </w:r>
      <w:r w:rsidR="002B3840">
        <w:rPr>
          <w:rFonts w:ascii="Garamond" w:eastAsia="Times New Roman" w:hAnsi="Garamond" w:cs="Times New Roman"/>
          <w:sz w:val="24"/>
          <w:szCs w:val="24"/>
          <w:lang w:eastAsia="ko-KR"/>
        </w:rPr>
        <w:t>readable</w:t>
      </w:r>
      <w:r w:rsidR="006A6B54">
        <w:rPr>
          <w:rFonts w:ascii="Garamond" w:eastAsia="Times New Roman" w:hAnsi="Garamond" w:cs="Times New Roman"/>
          <w:sz w:val="24"/>
          <w:szCs w:val="24"/>
          <w:lang w:eastAsia="ko-KR"/>
        </w:rPr>
        <w:t xml:space="preserve">. </w:t>
      </w:r>
      <w:r w:rsidR="00FF2D29">
        <w:rPr>
          <w:rFonts w:ascii="Garamond" w:eastAsia="Times New Roman" w:hAnsi="Garamond" w:cs="Times New Roman"/>
          <w:sz w:val="24"/>
          <w:szCs w:val="24"/>
          <w:lang w:eastAsia="ko-KR"/>
        </w:rPr>
        <w:t xml:space="preserve">You will have two weeks to complete these problem sets, and they are due at the </w:t>
      </w:r>
      <w:r w:rsidR="00115980">
        <w:rPr>
          <w:rFonts w:ascii="Garamond" w:eastAsia="Times New Roman" w:hAnsi="Garamond" w:cs="Times New Roman"/>
          <w:sz w:val="24"/>
          <w:szCs w:val="24"/>
          <w:lang w:eastAsia="ko-KR"/>
        </w:rPr>
        <w:t xml:space="preserve">end of the day of the </w:t>
      </w:r>
      <w:r w:rsidR="000657F9">
        <w:rPr>
          <w:rFonts w:ascii="Garamond" w:eastAsia="Times New Roman" w:hAnsi="Garamond" w:cs="Times New Roman"/>
          <w:sz w:val="24"/>
          <w:szCs w:val="24"/>
          <w:lang w:eastAsia="ko-KR"/>
        </w:rPr>
        <w:t xml:space="preserve">presentation </w:t>
      </w:r>
      <w:r w:rsidR="00115980">
        <w:rPr>
          <w:rFonts w:ascii="Garamond" w:eastAsia="Times New Roman" w:hAnsi="Garamond" w:cs="Times New Roman"/>
          <w:sz w:val="24"/>
          <w:szCs w:val="24"/>
          <w:lang w:eastAsia="ko-KR"/>
        </w:rPr>
        <w:t>session.</w:t>
      </w:r>
      <w:r w:rsidR="00FF2D29">
        <w:rPr>
          <w:rFonts w:ascii="Garamond" w:eastAsia="Times New Roman" w:hAnsi="Garamond" w:cs="Times New Roman"/>
          <w:sz w:val="24"/>
          <w:szCs w:val="24"/>
          <w:lang w:eastAsia="ko-KR"/>
        </w:rPr>
        <w:t xml:space="preserve"> </w:t>
      </w:r>
      <w:r w:rsidR="0040083D">
        <w:rPr>
          <w:rFonts w:ascii="Garamond" w:eastAsia="Times New Roman" w:hAnsi="Garamond" w:cs="Times New Roman"/>
          <w:sz w:val="24"/>
          <w:szCs w:val="24"/>
          <w:lang w:eastAsia="ko-KR"/>
        </w:rPr>
        <w:t xml:space="preserve">Each problem set is worth </w:t>
      </w:r>
      <w:r w:rsidR="002B3840">
        <w:rPr>
          <w:rFonts w:ascii="Garamond" w:eastAsia="Times New Roman" w:hAnsi="Garamond" w:cs="Times New Roman"/>
          <w:sz w:val="24"/>
          <w:szCs w:val="24"/>
          <w:lang w:eastAsia="ko-KR"/>
        </w:rPr>
        <w:t>15</w:t>
      </w:r>
      <w:r w:rsidR="00A35E93">
        <w:rPr>
          <w:rFonts w:ascii="Garamond" w:eastAsia="Times New Roman" w:hAnsi="Garamond" w:cs="Times New Roman"/>
          <w:sz w:val="24"/>
          <w:szCs w:val="24"/>
          <w:lang w:eastAsia="ko-KR"/>
        </w:rPr>
        <w:t xml:space="preserve"> points for a total of </w:t>
      </w:r>
      <w:r w:rsidR="000657F9">
        <w:rPr>
          <w:rFonts w:ascii="Garamond" w:eastAsia="Times New Roman" w:hAnsi="Garamond" w:cs="Times New Roman"/>
          <w:sz w:val="24"/>
          <w:szCs w:val="24"/>
          <w:lang w:eastAsia="ko-KR"/>
        </w:rPr>
        <w:t>60</w:t>
      </w:r>
      <w:r w:rsidR="0040083D">
        <w:rPr>
          <w:rFonts w:ascii="Garamond" w:eastAsia="Times New Roman" w:hAnsi="Garamond" w:cs="Times New Roman"/>
          <w:sz w:val="24"/>
          <w:szCs w:val="24"/>
          <w:lang w:eastAsia="ko-KR"/>
        </w:rPr>
        <w:t xml:space="preserve">. </w:t>
      </w:r>
    </w:p>
    <w:p w14:paraId="0F7CA579" w14:textId="77777777" w:rsidR="000657F9" w:rsidRDefault="000657F9" w:rsidP="00C97EF6">
      <w:pPr>
        <w:spacing w:after="0" w:line="240" w:lineRule="auto"/>
        <w:jc w:val="both"/>
        <w:rPr>
          <w:rFonts w:ascii="Garamond" w:eastAsia="Times New Roman" w:hAnsi="Garamond" w:cs="Times New Roman"/>
          <w:sz w:val="24"/>
          <w:szCs w:val="24"/>
          <w:lang w:eastAsia="ko-KR"/>
        </w:rPr>
      </w:pPr>
    </w:p>
    <w:p w14:paraId="7246A11D" w14:textId="27BE1BD5" w:rsidR="000657F9" w:rsidRPr="000657F9" w:rsidRDefault="00327034" w:rsidP="00C97EF6">
      <w:pPr>
        <w:spacing w:after="0" w:line="240" w:lineRule="auto"/>
        <w:jc w:val="both"/>
        <w:rPr>
          <w:rFonts w:ascii="Garamond" w:eastAsia="Times New Roman" w:hAnsi="Garamond" w:cs="Times New Roman"/>
          <w:sz w:val="24"/>
          <w:szCs w:val="24"/>
          <w:lang w:eastAsia="ko-KR"/>
        </w:rPr>
      </w:pPr>
      <w:r>
        <w:rPr>
          <w:noProof/>
        </w:rPr>
        <w:pict w14:anchorId="727564A3">
          <v:shapetype id="_x0000_t202" coordsize="21600,21600" o:spt="202" path="m,l,21600r21600,l21600,xe">
            <v:stroke joinstyle="miter"/>
            <v:path gradientshapeok="t" o:connecttype="rect"/>
          </v:shapetype>
          <v:shape id="Text Box 2" o:spid="_x0000_s1026" type="#_x0000_t202" style="position:absolute;left:0;text-align:left;margin-left:414.55pt;margin-top:93.75pt;width:465.75pt;height:78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">
            <v:textbox>
              <w:txbxContent>
                <w:p w14:paraId="1393FA7C" w14:textId="0099193F" w:rsidR="002015F1" w:rsidRDefault="002015F1">
                  <w:r w:rsidRPr="002015F1">
                    <w:rPr>
                      <w:b/>
                      <w:bCs/>
                    </w:rPr>
                    <w:t>A note about software</w:t>
                  </w:r>
                  <w:r w:rsidRPr="002015F1">
                    <w:t>. I will provide example code in Stata syntax. From past experience, I have found that students who use R or Python will have no difficulty translating Stata syntax to R or Python (though the reverse is often not true). Any software package is fine to use in principle; however, these problem sets will require you to code for replicability and automation (e.g., using forloops). Thus, “point and click” software such as SPSS will not be your friend.</w:t>
                  </w:r>
                </w:p>
              </w:txbxContent>
            </v:textbox>
            <w10:wrap type="square" anchorx="margin"/>
          </v:shape>
        </w:pict>
      </w:r>
      <w:r w:rsidR="000657F9" w:rsidRPr="002015F1">
        <w:rPr>
          <w:rFonts w:ascii="Garamond" w:eastAsia="Times New Roman" w:hAnsi="Garamond" w:cs="Times New Roman"/>
          <w:b/>
          <w:bCs/>
          <w:sz w:val="24"/>
          <w:szCs w:val="24"/>
          <w:lang w:eastAsia="ko-KR"/>
        </w:rPr>
        <w:t>D. Teaching Assistant Lab</w:t>
      </w:r>
      <w:r w:rsidR="000657F9">
        <w:rPr>
          <w:rFonts w:ascii="Garamond" w:eastAsia="Times New Roman" w:hAnsi="Garamond" w:cs="Times New Roman"/>
          <w:sz w:val="24"/>
          <w:szCs w:val="24"/>
          <w:lang w:eastAsia="ko-KR"/>
        </w:rPr>
        <w:t xml:space="preserve"> – Hojung will offer a weekly session on Fridays. This weekly session is optional but encouraged. For non-problem set weeks, these sessions will include practical extensions to material covered in class, for example in the week we discuss instrumental variables Hojung will present on shift-share instruments, a specific and widely utilized instantiation of IV. For problem set weeks, Hojung will host a traditional “lab” session in which she will help students with coding and conceptual questions for the assigned problem sets. </w:t>
      </w:r>
    </w:p>
    <w:p w14:paraId="56D8A285" w14:textId="77777777" w:rsidR="00C22B54" w:rsidRDefault="00C22B54" w:rsidP="00C97EF6">
      <w:pPr>
        <w:spacing w:after="0" w:line="240" w:lineRule="auto"/>
        <w:jc w:val="both"/>
        <w:rPr>
          <w:rFonts w:ascii="Garamond" w:eastAsia="Times New Roman" w:hAnsi="Garamond" w:cs="Times New Roman"/>
          <w:b/>
          <w:sz w:val="24"/>
          <w:szCs w:val="24"/>
          <w:lang w:eastAsia="ko-KR"/>
        </w:rPr>
      </w:pPr>
    </w:p>
    <w:p w14:paraId="2F1E3543" w14:textId="3758704A" w:rsidR="00052772" w:rsidRPr="003E20D7" w:rsidRDefault="00052772" w:rsidP="00C97EF6">
      <w:pPr>
        <w:spacing w:after="0" w:line="240" w:lineRule="auto"/>
        <w:jc w:val="both"/>
        <w:rPr>
          <w:rFonts w:ascii="Garamond" w:eastAsia="Times New Roman" w:hAnsi="Garamond" w:cs="Times New Roman"/>
          <w:b/>
          <w:sz w:val="24"/>
          <w:szCs w:val="24"/>
          <w:lang w:eastAsia="ko-KR"/>
        </w:rPr>
      </w:pPr>
      <w:r w:rsidRPr="003E20D7">
        <w:rPr>
          <w:rFonts w:ascii="Garamond" w:eastAsia="Times New Roman" w:hAnsi="Garamond" w:cs="Times New Roman"/>
          <w:b/>
          <w:sz w:val="24"/>
          <w:szCs w:val="24"/>
          <w:lang w:eastAsia="ko-KR"/>
        </w:rPr>
        <w:t>Grading</w:t>
      </w:r>
    </w:p>
    <w:p w14:paraId="34EE0D81" w14:textId="4D5129D8" w:rsidR="00473E8C" w:rsidRPr="003E20D7" w:rsidRDefault="009F5CA1" w:rsidP="00C97EF6">
      <w:pPr>
        <w:tabs>
          <w:tab w:val="right" w:pos="9360"/>
        </w:tabs>
        <w:spacing w:after="0" w:line="240" w:lineRule="auto"/>
        <w:jc w:val="both"/>
        <w:rPr>
          <w:rFonts w:ascii="Garamond" w:eastAsia="Times New Roman" w:hAnsi="Garamond" w:cs="Times New Roman"/>
          <w:sz w:val="24"/>
          <w:szCs w:val="24"/>
          <w:lang w:eastAsia="ko-KR"/>
        </w:rPr>
      </w:pPr>
      <w:r>
        <w:rPr>
          <w:rFonts w:ascii="Garamond" w:eastAsia="Times New Roman" w:hAnsi="Garamond" w:cs="Times New Roman"/>
          <w:sz w:val="24"/>
          <w:szCs w:val="24"/>
          <w:lang w:eastAsia="ko-KR"/>
        </w:rPr>
        <w:t xml:space="preserve">Attendance </w:t>
      </w:r>
      <w:r w:rsidR="00473E8C" w:rsidRPr="003E20D7">
        <w:rPr>
          <w:rFonts w:ascii="Garamond" w:eastAsia="Times New Roman" w:hAnsi="Garamond" w:cs="Times New Roman"/>
          <w:sz w:val="24"/>
          <w:szCs w:val="24"/>
          <w:lang w:eastAsia="ko-KR"/>
        </w:rPr>
        <w:t xml:space="preserve">------------------------------- </w:t>
      </w:r>
      <w:r w:rsidR="00473E8C" w:rsidRPr="003E20D7">
        <w:rPr>
          <w:rFonts w:ascii="Garamond" w:eastAsia="Times New Roman" w:hAnsi="Garamond" w:cs="Times New Roman"/>
          <w:sz w:val="24"/>
          <w:szCs w:val="24"/>
          <w:lang w:eastAsia="ko-KR"/>
        </w:rPr>
        <w:tab/>
        <w:t xml:space="preserve"> </w:t>
      </w:r>
      <w:r w:rsidR="000657F9">
        <w:rPr>
          <w:rFonts w:ascii="Garamond" w:eastAsia="Times New Roman" w:hAnsi="Garamond" w:cs="Times New Roman"/>
          <w:sz w:val="24"/>
          <w:szCs w:val="24"/>
          <w:lang w:eastAsia="ko-KR"/>
        </w:rPr>
        <w:t>10</w:t>
      </w:r>
      <w:r w:rsidR="000657F9" w:rsidRPr="003E20D7">
        <w:rPr>
          <w:rFonts w:ascii="Garamond" w:eastAsia="Times New Roman" w:hAnsi="Garamond" w:cs="Times New Roman"/>
          <w:sz w:val="24"/>
          <w:szCs w:val="24"/>
          <w:lang w:eastAsia="ko-KR"/>
        </w:rPr>
        <w:t xml:space="preserve"> </w:t>
      </w:r>
      <w:r w:rsidR="00473E8C" w:rsidRPr="003E20D7">
        <w:rPr>
          <w:rFonts w:ascii="Garamond" w:eastAsia="Times New Roman" w:hAnsi="Garamond" w:cs="Times New Roman"/>
          <w:sz w:val="24"/>
          <w:szCs w:val="24"/>
          <w:lang w:eastAsia="ko-KR"/>
        </w:rPr>
        <w:t>points total (</w:t>
      </w:r>
      <w:r w:rsidR="000657F9">
        <w:rPr>
          <w:rFonts w:ascii="Garamond" w:eastAsia="Times New Roman" w:hAnsi="Garamond" w:cs="Times New Roman"/>
          <w:sz w:val="24"/>
          <w:szCs w:val="24"/>
          <w:lang w:eastAsia="ko-KR"/>
        </w:rPr>
        <w:t>10</w:t>
      </w:r>
      <w:r w:rsidR="00473E8C" w:rsidRPr="003E20D7">
        <w:rPr>
          <w:rFonts w:ascii="Garamond" w:eastAsia="Times New Roman" w:hAnsi="Garamond" w:cs="Times New Roman"/>
          <w:sz w:val="24"/>
          <w:szCs w:val="24"/>
          <w:lang w:eastAsia="ko-KR"/>
        </w:rPr>
        <w:t>%)</w:t>
      </w:r>
    </w:p>
    <w:p w14:paraId="2B88D040" w14:textId="22D1A82D" w:rsidR="00052772" w:rsidRPr="003E20D7" w:rsidRDefault="009F5CA1" w:rsidP="00C97EF6">
      <w:pPr>
        <w:tabs>
          <w:tab w:val="right" w:pos="9360"/>
        </w:tabs>
        <w:spacing w:after="0" w:line="240" w:lineRule="auto"/>
        <w:jc w:val="both"/>
        <w:rPr>
          <w:rFonts w:ascii="Garamond" w:eastAsia="Times New Roman" w:hAnsi="Garamond" w:cs="Times New Roman"/>
          <w:sz w:val="24"/>
          <w:szCs w:val="24"/>
          <w:lang w:eastAsia="ko-KR"/>
        </w:rPr>
      </w:pPr>
      <w:r>
        <w:rPr>
          <w:rFonts w:ascii="Garamond" w:eastAsia="Times New Roman" w:hAnsi="Garamond" w:cs="Times New Roman"/>
          <w:sz w:val="24"/>
          <w:szCs w:val="24"/>
          <w:lang w:eastAsia="ko-KR"/>
        </w:rPr>
        <w:t xml:space="preserve">Individual Presentation </w:t>
      </w:r>
      <w:r w:rsidR="00052772" w:rsidRPr="003E20D7">
        <w:rPr>
          <w:rFonts w:ascii="Garamond" w:eastAsia="Times New Roman" w:hAnsi="Garamond" w:cs="Times New Roman"/>
          <w:sz w:val="24"/>
          <w:szCs w:val="24"/>
          <w:lang w:eastAsia="ko-KR"/>
        </w:rPr>
        <w:t xml:space="preserve">------------------------------- </w:t>
      </w:r>
      <w:r w:rsidR="00052772" w:rsidRPr="003E20D7">
        <w:rPr>
          <w:rFonts w:ascii="Garamond" w:eastAsia="Times New Roman" w:hAnsi="Garamond" w:cs="Times New Roman"/>
          <w:sz w:val="24"/>
          <w:szCs w:val="24"/>
          <w:lang w:eastAsia="ko-KR"/>
        </w:rPr>
        <w:tab/>
      </w:r>
      <w:r>
        <w:rPr>
          <w:rFonts w:ascii="Garamond" w:eastAsia="Times New Roman" w:hAnsi="Garamond" w:cs="Times New Roman"/>
          <w:sz w:val="24"/>
          <w:szCs w:val="24"/>
          <w:lang w:eastAsia="ko-KR"/>
        </w:rPr>
        <w:t>1</w:t>
      </w:r>
      <w:r w:rsidR="00C9359E">
        <w:rPr>
          <w:rFonts w:ascii="Garamond" w:eastAsia="Times New Roman" w:hAnsi="Garamond" w:cs="Times New Roman"/>
          <w:sz w:val="24"/>
          <w:szCs w:val="24"/>
          <w:lang w:eastAsia="ko-KR"/>
        </w:rPr>
        <w:t>5</w:t>
      </w:r>
      <w:r w:rsidR="00161888">
        <w:rPr>
          <w:rFonts w:ascii="Garamond" w:eastAsia="Times New Roman" w:hAnsi="Garamond" w:cs="Times New Roman"/>
          <w:sz w:val="24"/>
          <w:szCs w:val="24"/>
          <w:lang w:eastAsia="ko-KR"/>
        </w:rPr>
        <w:t xml:space="preserve"> points x</w:t>
      </w:r>
      <w:r w:rsidR="00F746AA">
        <w:rPr>
          <w:rFonts w:ascii="Garamond" w:eastAsia="Times New Roman" w:hAnsi="Garamond" w:cs="Times New Roman"/>
          <w:sz w:val="24"/>
          <w:szCs w:val="24"/>
          <w:lang w:eastAsia="ko-KR"/>
        </w:rPr>
        <w:t>2</w:t>
      </w:r>
      <w:r w:rsidR="00161888">
        <w:rPr>
          <w:rFonts w:ascii="Garamond" w:eastAsia="Times New Roman" w:hAnsi="Garamond" w:cs="Times New Roman"/>
          <w:sz w:val="24"/>
          <w:szCs w:val="24"/>
          <w:lang w:eastAsia="ko-KR"/>
        </w:rPr>
        <w:t xml:space="preserve"> = 30</w:t>
      </w:r>
      <w:r>
        <w:rPr>
          <w:rFonts w:ascii="Garamond" w:eastAsia="Times New Roman" w:hAnsi="Garamond" w:cs="Times New Roman"/>
          <w:sz w:val="24"/>
          <w:szCs w:val="24"/>
          <w:lang w:eastAsia="ko-KR"/>
        </w:rPr>
        <w:t xml:space="preserve"> </w:t>
      </w:r>
      <w:r w:rsidR="00052772" w:rsidRPr="003E20D7">
        <w:rPr>
          <w:rFonts w:ascii="Garamond" w:eastAsia="Times New Roman" w:hAnsi="Garamond" w:cs="Times New Roman"/>
          <w:sz w:val="24"/>
          <w:szCs w:val="24"/>
          <w:lang w:eastAsia="ko-KR"/>
        </w:rPr>
        <w:t>points total (</w:t>
      </w:r>
      <w:r w:rsidR="00161888">
        <w:rPr>
          <w:rFonts w:ascii="Garamond" w:eastAsia="Times New Roman" w:hAnsi="Garamond" w:cs="Times New Roman"/>
          <w:sz w:val="24"/>
          <w:szCs w:val="24"/>
          <w:lang w:eastAsia="ko-KR"/>
        </w:rPr>
        <w:t>30</w:t>
      </w:r>
      <w:r w:rsidR="00052772" w:rsidRPr="003E20D7">
        <w:rPr>
          <w:rFonts w:ascii="Garamond" w:eastAsia="Times New Roman" w:hAnsi="Garamond" w:cs="Times New Roman"/>
          <w:sz w:val="24"/>
          <w:szCs w:val="24"/>
          <w:lang w:eastAsia="ko-KR"/>
        </w:rPr>
        <w:t>%)</w:t>
      </w:r>
    </w:p>
    <w:p w14:paraId="3AA9FE8B" w14:textId="0F045EA7" w:rsidR="00052772" w:rsidRDefault="009F5CA1" w:rsidP="00C97EF6">
      <w:pPr>
        <w:tabs>
          <w:tab w:val="right" w:pos="9360"/>
        </w:tabs>
        <w:spacing w:after="0" w:line="240" w:lineRule="auto"/>
        <w:jc w:val="both"/>
        <w:rPr>
          <w:rFonts w:ascii="Garamond" w:eastAsia="Times New Roman" w:hAnsi="Garamond" w:cs="Times New Roman"/>
          <w:sz w:val="24"/>
          <w:szCs w:val="24"/>
          <w:lang w:eastAsia="ko-KR"/>
        </w:rPr>
      </w:pPr>
      <w:r>
        <w:rPr>
          <w:rFonts w:ascii="Garamond" w:eastAsia="Times New Roman" w:hAnsi="Garamond" w:cs="Times New Roman"/>
          <w:sz w:val="24"/>
          <w:szCs w:val="24"/>
          <w:lang w:eastAsia="ko-KR"/>
        </w:rPr>
        <w:t xml:space="preserve">Problem Sets </w:t>
      </w:r>
      <w:r w:rsidR="00052772" w:rsidRPr="003E20D7">
        <w:rPr>
          <w:rFonts w:ascii="Garamond" w:eastAsia="Times New Roman" w:hAnsi="Garamond" w:cs="Times New Roman"/>
          <w:sz w:val="24"/>
          <w:szCs w:val="24"/>
          <w:lang w:eastAsia="ko-KR"/>
        </w:rPr>
        <w:t xml:space="preserve">---------------------- </w:t>
      </w:r>
      <w:r w:rsidR="00052772" w:rsidRPr="003E20D7">
        <w:rPr>
          <w:rFonts w:ascii="Garamond" w:eastAsia="Times New Roman" w:hAnsi="Garamond" w:cs="Times New Roman"/>
          <w:sz w:val="24"/>
          <w:szCs w:val="24"/>
          <w:lang w:eastAsia="ko-KR"/>
        </w:rPr>
        <w:tab/>
      </w:r>
      <w:r w:rsidR="00161888">
        <w:rPr>
          <w:rFonts w:ascii="Garamond" w:eastAsia="Times New Roman" w:hAnsi="Garamond" w:cs="Times New Roman"/>
          <w:sz w:val="24"/>
          <w:szCs w:val="24"/>
          <w:lang w:eastAsia="ko-KR"/>
        </w:rPr>
        <w:t>15</w:t>
      </w:r>
      <w:r w:rsidR="00052772" w:rsidRPr="003E20D7">
        <w:rPr>
          <w:rFonts w:ascii="Garamond" w:eastAsia="Times New Roman" w:hAnsi="Garamond" w:cs="Times New Roman"/>
          <w:sz w:val="24"/>
          <w:szCs w:val="24"/>
          <w:lang w:eastAsia="ko-KR"/>
        </w:rPr>
        <w:t xml:space="preserve"> points each x </w:t>
      </w:r>
      <w:r w:rsidR="00C4727A">
        <w:rPr>
          <w:rFonts w:ascii="Garamond" w:eastAsia="Times New Roman" w:hAnsi="Garamond" w:cs="Times New Roman"/>
          <w:sz w:val="24"/>
          <w:szCs w:val="24"/>
          <w:lang w:eastAsia="ko-KR"/>
        </w:rPr>
        <w:t>4</w:t>
      </w:r>
      <w:r w:rsidR="00052772" w:rsidRPr="003E20D7">
        <w:rPr>
          <w:rFonts w:ascii="Garamond" w:eastAsia="Times New Roman" w:hAnsi="Garamond" w:cs="Times New Roman"/>
          <w:sz w:val="24"/>
          <w:szCs w:val="24"/>
          <w:lang w:eastAsia="ko-KR"/>
        </w:rPr>
        <w:t xml:space="preserve"> = </w:t>
      </w:r>
      <w:r w:rsidR="000657F9">
        <w:rPr>
          <w:rFonts w:ascii="Garamond" w:eastAsia="Times New Roman" w:hAnsi="Garamond" w:cs="Times New Roman"/>
          <w:sz w:val="24"/>
          <w:szCs w:val="24"/>
          <w:lang w:eastAsia="ko-KR"/>
        </w:rPr>
        <w:t>60</w:t>
      </w:r>
      <w:r w:rsidR="007F4CEA">
        <w:rPr>
          <w:rFonts w:ascii="Garamond" w:eastAsia="Times New Roman" w:hAnsi="Garamond" w:cs="Times New Roman"/>
          <w:sz w:val="24"/>
          <w:szCs w:val="24"/>
          <w:lang w:eastAsia="ko-KR"/>
        </w:rPr>
        <w:t xml:space="preserve"> </w:t>
      </w:r>
      <w:r w:rsidR="00052772" w:rsidRPr="003E20D7">
        <w:rPr>
          <w:rFonts w:ascii="Garamond" w:eastAsia="Times New Roman" w:hAnsi="Garamond" w:cs="Times New Roman"/>
          <w:sz w:val="24"/>
          <w:szCs w:val="24"/>
          <w:lang w:eastAsia="ko-KR"/>
        </w:rPr>
        <w:t>points total (</w:t>
      </w:r>
      <w:r w:rsidR="000657F9">
        <w:rPr>
          <w:rFonts w:ascii="Garamond" w:eastAsia="Times New Roman" w:hAnsi="Garamond" w:cs="Times New Roman"/>
          <w:sz w:val="24"/>
          <w:szCs w:val="24"/>
          <w:lang w:eastAsia="ko-KR"/>
        </w:rPr>
        <w:t>60</w:t>
      </w:r>
      <w:r w:rsidR="00052772" w:rsidRPr="003E20D7">
        <w:rPr>
          <w:rFonts w:ascii="Garamond" w:eastAsia="Times New Roman" w:hAnsi="Garamond" w:cs="Times New Roman"/>
          <w:sz w:val="24"/>
          <w:szCs w:val="24"/>
          <w:lang w:eastAsia="ko-KR"/>
        </w:rPr>
        <w:t>%)</w:t>
      </w:r>
    </w:p>
    <w:p w14:paraId="05EC52A7" w14:textId="77777777" w:rsidR="00052772" w:rsidRPr="003E20D7" w:rsidRDefault="00052772" w:rsidP="00C97EF6">
      <w:pPr>
        <w:tabs>
          <w:tab w:val="right" w:pos="9360"/>
        </w:tabs>
        <w:spacing w:after="0" w:line="240" w:lineRule="auto"/>
        <w:jc w:val="both"/>
        <w:rPr>
          <w:rFonts w:ascii="Garamond" w:eastAsia="Times New Roman" w:hAnsi="Garamond" w:cs="Times New Roman"/>
          <w:b/>
          <w:sz w:val="24"/>
          <w:szCs w:val="24"/>
          <w:u w:val="single"/>
          <w:lang w:eastAsia="ko-KR"/>
        </w:rPr>
      </w:pPr>
      <w:r w:rsidRPr="003E20D7">
        <w:rPr>
          <w:rFonts w:ascii="Garamond" w:eastAsia="Times New Roman" w:hAnsi="Garamond" w:cs="Times New Roman"/>
          <w:b/>
          <w:sz w:val="24"/>
          <w:szCs w:val="24"/>
          <w:u w:val="single"/>
          <w:lang w:eastAsia="ko-KR"/>
        </w:rPr>
        <w:t>Total score for course</w:t>
      </w:r>
      <w:r w:rsidRPr="003E20D7">
        <w:rPr>
          <w:rFonts w:ascii="Garamond" w:eastAsia="Times New Roman" w:hAnsi="Garamond" w:cs="Times New Roman"/>
          <w:sz w:val="24"/>
          <w:szCs w:val="24"/>
          <w:lang w:eastAsia="ko-KR"/>
        </w:rPr>
        <w:t>--------------------------------------------------------------------------</w:t>
      </w:r>
      <w:r w:rsidRPr="003E20D7">
        <w:rPr>
          <w:rFonts w:ascii="Garamond" w:eastAsia="Times New Roman" w:hAnsi="Garamond" w:cs="Times New Roman"/>
          <w:b/>
          <w:sz w:val="24"/>
          <w:szCs w:val="24"/>
          <w:lang w:eastAsia="ko-KR"/>
        </w:rPr>
        <w:tab/>
      </w:r>
      <w:r w:rsidR="00E01307" w:rsidRPr="003E20D7">
        <w:rPr>
          <w:rFonts w:ascii="Garamond" w:eastAsia="Times New Roman" w:hAnsi="Garamond" w:cs="Times New Roman"/>
          <w:b/>
          <w:sz w:val="24"/>
          <w:szCs w:val="24"/>
          <w:u w:val="single"/>
          <w:lang w:eastAsia="ko-KR"/>
        </w:rPr>
        <w:t>100</w:t>
      </w:r>
      <w:r w:rsidRPr="003E20D7">
        <w:rPr>
          <w:rFonts w:ascii="Garamond" w:eastAsia="Times New Roman" w:hAnsi="Garamond" w:cs="Times New Roman"/>
          <w:b/>
          <w:sz w:val="24"/>
          <w:szCs w:val="24"/>
          <w:u w:val="single"/>
          <w:lang w:eastAsia="ko-KR"/>
        </w:rPr>
        <w:t xml:space="preserve"> (100%)</w:t>
      </w:r>
    </w:p>
    <w:p w14:paraId="63413BB3" w14:textId="77777777" w:rsidR="00C008CB" w:rsidRDefault="00C008CB" w:rsidP="00447EC2">
      <w:pPr>
        <w:shd w:val="clear" w:color="auto" w:fill="FFFFFF"/>
        <w:spacing w:after="0"/>
        <w:jc w:val="both"/>
        <w:rPr>
          <w:rFonts w:ascii="Garamond" w:eastAsia="Times New Roman" w:hAnsi="Garamond" w:cs="Times New Roman"/>
          <w:b/>
          <w:bCs/>
          <w:sz w:val="24"/>
          <w:szCs w:val="24"/>
          <w:lang w:eastAsia="ko-KR"/>
        </w:rPr>
      </w:pPr>
    </w:p>
    <w:p w14:paraId="2E6356A5" w14:textId="0B3AA10E" w:rsidR="00447EC2" w:rsidRPr="00447EC2" w:rsidRDefault="00447EC2" w:rsidP="00447EC2">
      <w:pPr>
        <w:shd w:val="clear" w:color="auto" w:fill="FFFFFF"/>
        <w:spacing w:after="0"/>
        <w:jc w:val="both"/>
        <w:rPr>
          <w:rFonts w:ascii="Garamond" w:eastAsia="Times New Roman" w:hAnsi="Garamond" w:cs="Times New Roman"/>
          <w:sz w:val="24"/>
          <w:szCs w:val="24"/>
          <w:lang w:eastAsia="ko-KR"/>
        </w:rPr>
      </w:pPr>
      <w:r w:rsidRPr="00447EC2">
        <w:rPr>
          <w:rFonts w:ascii="Garamond" w:eastAsia="Times New Roman" w:hAnsi="Garamond" w:cs="Times New Roman"/>
          <w:b/>
          <w:bCs/>
          <w:sz w:val="24"/>
          <w:szCs w:val="24"/>
          <w:lang w:eastAsia="ko-KR"/>
        </w:rPr>
        <w:t xml:space="preserve">Grading Scale: </w:t>
      </w:r>
      <w:r w:rsidRPr="00447EC2">
        <w:rPr>
          <w:rFonts w:ascii="Garamond" w:eastAsia="Times New Roman" w:hAnsi="Garamond" w:cs="Times New Roman"/>
          <w:sz w:val="24"/>
          <w:szCs w:val="24"/>
          <w:lang w:eastAsia="ko-KR"/>
        </w:rPr>
        <w:t>Students will be assigned the following letter grade based on the calculation coming from the course assessment section.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447EC2" w:rsidRPr="00447EC2" w14:paraId="0AD00EE4" w14:textId="77777777" w:rsidTr="006D4C07">
        <w:tc>
          <w:tcPr>
            <w:tcW w:w="3116" w:type="dxa"/>
          </w:tcPr>
          <w:p w14:paraId="33FFB216" w14:textId="77777777" w:rsidR="00447EC2" w:rsidRPr="00447EC2" w:rsidRDefault="00447EC2" w:rsidP="00447EC2">
            <w:pPr>
              <w:shd w:val="clear" w:color="auto" w:fill="FFFFFF"/>
              <w:spacing w:line="259" w:lineRule="auto"/>
              <w:jc w:val="both"/>
              <w:rPr>
                <w:rFonts w:ascii="Garamond" w:eastAsia="Times New Roman" w:hAnsi="Garamond" w:cs="Times New Roman"/>
              </w:rPr>
            </w:pPr>
            <w:r w:rsidRPr="00447EC2">
              <w:rPr>
                <w:rFonts w:ascii="Garamond" w:eastAsia="Times New Roman" w:hAnsi="Garamond" w:cs="Times New Roman"/>
              </w:rPr>
              <w:t>A [[ 94.50 and over ]]</w:t>
            </w:r>
          </w:p>
        </w:tc>
        <w:tc>
          <w:tcPr>
            <w:tcW w:w="3117" w:type="dxa"/>
          </w:tcPr>
          <w:p w14:paraId="735FCE08" w14:textId="77777777" w:rsidR="00447EC2" w:rsidRPr="00447EC2" w:rsidRDefault="00447EC2" w:rsidP="00447EC2">
            <w:pPr>
              <w:shd w:val="clear" w:color="auto" w:fill="FFFFFF"/>
              <w:spacing w:line="259" w:lineRule="auto"/>
              <w:jc w:val="both"/>
              <w:rPr>
                <w:rFonts w:ascii="Garamond" w:eastAsia="Times New Roman" w:hAnsi="Garamond" w:cs="Times New Roman"/>
              </w:rPr>
            </w:pPr>
            <w:r w:rsidRPr="00447EC2">
              <w:rPr>
                <w:rFonts w:ascii="Garamond" w:eastAsia="Times New Roman" w:hAnsi="Garamond" w:cs="Times New Roman"/>
              </w:rPr>
              <w:t>B- [[ 79.50 to 82.49 ]]</w:t>
            </w:r>
          </w:p>
        </w:tc>
        <w:tc>
          <w:tcPr>
            <w:tcW w:w="3117" w:type="dxa"/>
          </w:tcPr>
          <w:p w14:paraId="3D6FF328" w14:textId="77777777" w:rsidR="00447EC2" w:rsidRPr="00447EC2" w:rsidRDefault="00447EC2" w:rsidP="00447EC2">
            <w:pPr>
              <w:shd w:val="clear" w:color="auto" w:fill="FFFFFF"/>
              <w:spacing w:line="259" w:lineRule="auto"/>
              <w:jc w:val="both"/>
              <w:rPr>
                <w:rFonts w:ascii="Garamond" w:eastAsia="Times New Roman" w:hAnsi="Garamond" w:cs="Times New Roman"/>
              </w:rPr>
            </w:pPr>
            <w:r w:rsidRPr="00447EC2">
              <w:rPr>
                <w:rFonts w:ascii="Garamond" w:eastAsia="Times New Roman" w:hAnsi="Garamond" w:cs="Times New Roman"/>
              </w:rPr>
              <w:t>D+ [[ 66.50 to 69.49 ]]</w:t>
            </w:r>
          </w:p>
        </w:tc>
      </w:tr>
      <w:tr w:rsidR="00447EC2" w:rsidRPr="00447EC2" w14:paraId="0206EF07" w14:textId="77777777" w:rsidTr="006D4C07">
        <w:tc>
          <w:tcPr>
            <w:tcW w:w="3116" w:type="dxa"/>
          </w:tcPr>
          <w:p w14:paraId="6AD7EDA2" w14:textId="77777777" w:rsidR="00447EC2" w:rsidRPr="00447EC2" w:rsidRDefault="00447EC2" w:rsidP="00447EC2">
            <w:pPr>
              <w:shd w:val="clear" w:color="auto" w:fill="FFFFFF"/>
              <w:spacing w:line="259" w:lineRule="auto"/>
              <w:jc w:val="both"/>
              <w:rPr>
                <w:rFonts w:ascii="Garamond" w:eastAsia="Times New Roman" w:hAnsi="Garamond" w:cs="Times New Roman"/>
              </w:rPr>
            </w:pPr>
            <w:r w:rsidRPr="00447EC2">
              <w:rPr>
                <w:rFonts w:ascii="Garamond" w:eastAsia="Times New Roman" w:hAnsi="Garamond" w:cs="Times New Roman"/>
              </w:rPr>
              <w:t>A- [[ 89.50 to 94.49 ]]</w:t>
            </w:r>
          </w:p>
        </w:tc>
        <w:tc>
          <w:tcPr>
            <w:tcW w:w="3117" w:type="dxa"/>
          </w:tcPr>
          <w:p w14:paraId="78C45184" w14:textId="77777777" w:rsidR="00447EC2" w:rsidRPr="00447EC2" w:rsidRDefault="00447EC2" w:rsidP="00447EC2">
            <w:pPr>
              <w:shd w:val="clear" w:color="auto" w:fill="FFFFFF"/>
              <w:spacing w:line="259" w:lineRule="auto"/>
              <w:jc w:val="both"/>
              <w:rPr>
                <w:rFonts w:ascii="Garamond" w:eastAsia="Times New Roman" w:hAnsi="Garamond" w:cs="Times New Roman"/>
              </w:rPr>
            </w:pPr>
            <w:r w:rsidRPr="00447EC2">
              <w:rPr>
                <w:rFonts w:ascii="Garamond" w:eastAsia="Times New Roman" w:hAnsi="Garamond" w:cs="Times New Roman"/>
              </w:rPr>
              <w:t>C+ [[ 76.50 to 79.49 ]]</w:t>
            </w:r>
          </w:p>
        </w:tc>
        <w:tc>
          <w:tcPr>
            <w:tcW w:w="3117" w:type="dxa"/>
          </w:tcPr>
          <w:p w14:paraId="1E7823ED" w14:textId="77777777" w:rsidR="00447EC2" w:rsidRPr="00447EC2" w:rsidRDefault="00447EC2" w:rsidP="00447EC2">
            <w:pPr>
              <w:shd w:val="clear" w:color="auto" w:fill="FFFFFF"/>
              <w:spacing w:line="259" w:lineRule="auto"/>
              <w:jc w:val="both"/>
              <w:rPr>
                <w:rFonts w:ascii="Garamond" w:eastAsia="Times New Roman" w:hAnsi="Garamond" w:cs="Times New Roman"/>
              </w:rPr>
            </w:pPr>
            <w:r w:rsidRPr="00447EC2">
              <w:rPr>
                <w:rFonts w:ascii="Garamond" w:eastAsia="Times New Roman" w:hAnsi="Garamond" w:cs="Times New Roman"/>
              </w:rPr>
              <w:t>D [[ 62.50 to 66.49 ]]</w:t>
            </w:r>
          </w:p>
        </w:tc>
      </w:tr>
      <w:tr w:rsidR="00447EC2" w:rsidRPr="00447EC2" w14:paraId="2111BE4C" w14:textId="77777777" w:rsidTr="006D4C07">
        <w:tc>
          <w:tcPr>
            <w:tcW w:w="3116" w:type="dxa"/>
          </w:tcPr>
          <w:p w14:paraId="5F0C8E4C" w14:textId="77777777" w:rsidR="00447EC2" w:rsidRPr="00447EC2" w:rsidRDefault="00447EC2" w:rsidP="00447EC2">
            <w:pPr>
              <w:shd w:val="clear" w:color="auto" w:fill="FFFFFF"/>
              <w:spacing w:line="259" w:lineRule="auto"/>
              <w:jc w:val="both"/>
              <w:rPr>
                <w:rFonts w:ascii="Garamond" w:eastAsia="Times New Roman" w:hAnsi="Garamond" w:cs="Times New Roman"/>
              </w:rPr>
            </w:pPr>
            <w:r w:rsidRPr="00447EC2">
              <w:rPr>
                <w:rFonts w:ascii="Garamond" w:eastAsia="Times New Roman" w:hAnsi="Garamond" w:cs="Times New Roman"/>
              </w:rPr>
              <w:t>B+ [[ 86.50 to 89.49 ]]</w:t>
            </w:r>
          </w:p>
        </w:tc>
        <w:tc>
          <w:tcPr>
            <w:tcW w:w="3117" w:type="dxa"/>
          </w:tcPr>
          <w:p w14:paraId="7FBBE0A2" w14:textId="77777777" w:rsidR="00447EC2" w:rsidRPr="00447EC2" w:rsidRDefault="00447EC2" w:rsidP="00447EC2">
            <w:pPr>
              <w:shd w:val="clear" w:color="auto" w:fill="FFFFFF"/>
              <w:spacing w:line="259" w:lineRule="auto"/>
              <w:jc w:val="both"/>
              <w:rPr>
                <w:rFonts w:ascii="Garamond" w:eastAsia="Times New Roman" w:hAnsi="Garamond" w:cs="Times New Roman"/>
              </w:rPr>
            </w:pPr>
            <w:r w:rsidRPr="00447EC2">
              <w:rPr>
                <w:rFonts w:ascii="Garamond" w:eastAsia="Times New Roman" w:hAnsi="Garamond" w:cs="Times New Roman"/>
              </w:rPr>
              <w:t>C [[ 72.50 to 76.49 ]]</w:t>
            </w:r>
          </w:p>
        </w:tc>
        <w:tc>
          <w:tcPr>
            <w:tcW w:w="3117" w:type="dxa"/>
          </w:tcPr>
          <w:p w14:paraId="65A5B4B0" w14:textId="77777777" w:rsidR="00447EC2" w:rsidRPr="00447EC2" w:rsidRDefault="00447EC2" w:rsidP="00447EC2">
            <w:pPr>
              <w:shd w:val="clear" w:color="auto" w:fill="FFFFFF"/>
              <w:spacing w:line="259" w:lineRule="auto"/>
              <w:jc w:val="both"/>
              <w:rPr>
                <w:rFonts w:ascii="Garamond" w:eastAsia="Times New Roman" w:hAnsi="Garamond" w:cs="Times New Roman"/>
              </w:rPr>
            </w:pPr>
            <w:r w:rsidRPr="00447EC2">
              <w:rPr>
                <w:rFonts w:ascii="Garamond" w:eastAsia="Times New Roman" w:hAnsi="Garamond" w:cs="Times New Roman"/>
              </w:rPr>
              <w:t>D- [[ 59.50 to 62.49 ]]</w:t>
            </w:r>
          </w:p>
        </w:tc>
      </w:tr>
      <w:tr w:rsidR="00447EC2" w:rsidRPr="00447EC2" w14:paraId="373E4D4F" w14:textId="77777777" w:rsidTr="006D4C07">
        <w:tc>
          <w:tcPr>
            <w:tcW w:w="3116" w:type="dxa"/>
          </w:tcPr>
          <w:p w14:paraId="40BE34D6" w14:textId="77777777" w:rsidR="00447EC2" w:rsidRPr="00447EC2" w:rsidRDefault="00447EC2" w:rsidP="00447EC2">
            <w:pPr>
              <w:shd w:val="clear" w:color="auto" w:fill="FFFFFF"/>
              <w:spacing w:line="259" w:lineRule="auto"/>
              <w:jc w:val="both"/>
              <w:rPr>
                <w:rFonts w:ascii="Garamond" w:eastAsia="Times New Roman" w:hAnsi="Garamond" w:cs="Times New Roman"/>
              </w:rPr>
            </w:pPr>
            <w:r w:rsidRPr="00447EC2">
              <w:rPr>
                <w:rFonts w:ascii="Garamond" w:eastAsia="Times New Roman" w:hAnsi="Garamond" w:cs="Times New Roman"/>
              </w:rPr>
              <w:t>B [[ 82.50 to 86.49 ]]</w:t>
            </w:r>
          </w:p>
        </w:tc>
        <w:tc>
          <w:tcPr>
            <w:tcW w:w="3117" w:type="dxa"/>
          </w:tcPr>
          <w:p w14:paraId="5BFDDDAB" w14:textId="77777777" w:rsidR="00447EC2" w:rsidRPr="00447EC2" w:rsidRDefault="00447EC2" w:rsidP="00447EC2">
            <w:pPr>
              <w:shd w:val="clear" w:color="auto" w:fill="FFFFFF"/>
              <w:spacing w:line="259" w:lineRule="auto"/>
              <w:jc w:val="both"/>
              <w:rPr>
                <w:rFonts w:ascii="Garamond" w:eastAsia="Times New Roman" w:hAnsi="Garamond" w:cs="Times New Roman"/>
              </w:rPr>
            </w:pPr>
            <w:r w:rsidRPr="00447EC2">
              <w:rPr>
                <w:rFonts w:ascii="Garamond" w:eastAsia="Times New Roman" w:hAnsi="Garamond" w:cs="Times New Roman"/>
              </w:rPr>
              <w:t>C- [[ 69.50 to 72.49 ]]</w:t>
            </w:r>
          </w:p>
        </w:tc>
        <w:tc>
          <w:tcPr>
            <w:tcW w:w="3117" w:type="dxa"/>
          </w:tcPr>
          <w:p w14:paraId="352DC07D" w14:textId="77777777" w:rsidR="00447EC2" w:rsidRPr="00447EC2" w:rsidRDefault="00447EC2" w:rsidP="00447EC2">
            <w:pPr>
              <w:shd w:val="clear" w:color="auto" w:fill="FFFFFF"/>
              <w:spacing w:line="259" w:lineRule="auto"/>
              <w:jc w:val="both"/>
              <w:rPr>
                <w:rFonts w:ascii="Garamond" w:eastAsia="Times New Roman" w:hAnsi="Garamond" w:cs="Times New Roman"/>
              </w:rPr>
            </w:pPr>
            <w:r w:rsidRPr="00447EC2">
              <w:rPr>
                <w:rFonts w:ascii="Garamond" w:eastAsia="Times New Roman" w:hAnsi="Garamond" w:cs="Times New Roman"/>
              </w:rPr>
              <w:t>F [[ Below 59.49 ]]</w:t>
            </w:r>
          </w:p>
        </w:tc>
      </w:tr>
    </w:tbl>
    <w:p w14:paraId="6C2897A1" w14:textId="77777777" w:rsidR="00447EC2" w:rsidRPr="00447EC2" w:rsidRDefault="00447EC2" w:rsidP="00447EC2">
      <w:pPr>
        <w:shd w:val="clear" w:color="auto" w:fill="FFFFFF"/>
        <w:spacing w:after="0"/>
        <w:jc w:val="both"/>
        <w:rPr>
          <w:rFonts w:ascii="Garamond" w:eastAsia="Times New Roman" w:hAnsi="Garamond" w:cs="Times New Roman"/>
          <w:sz w:val="24"/>
          <w:szCs w:val="24"/>
          <w:lang w:eastAsia="ko-KR"/>
        </w:rPr>
      </w:pPr>
    </w:p>
    <w:p w14:paraId="6C4DE3B6" w14:textId="77777777" w:rsidR="00447EC2" w:rsidRPr="00447EC2" w:rsidRDefault="00447EC2" w:rsidP="00447EC2">
      <w:pPr>
        <w:shd w:val="clear" w:color="auto" w:fill="FFFFFF"/>
        <w:spacing w:after="0"/>
        <w:jc w:val="both"/>
        <w:rPr>
          <w:rFonts w:ascii="Garamond" w:eastAsia="Times New Roman" w:hAnsi="Garamond" w:cs="Times New Roman"/>
          <w:b/>
          <w:bCs/>
          <w:sz w:val="24"/>
          <w:szCs w:val="24"/>
          <w:lang w:eastAsia="ko-KR"/>
        </w:rPr>
      </w:pPr>
      <w:r w:rsidRPr="00447EC2">
        <w:rPr>
          <w:rFonts w:ascii="Garamond" w:eastAsia="Times New Roman" w:hAnsi="Garamond" w:cs="Times New Roman"/>
          <w:b/>
          <w:bCs/>
          <w:sz w:val="24"/>
          <w:szCs w:val="24"/>
          <w:lang w:eastAsia="ko-KR"/>
        </w:rPr>
        <w:t>UD Policies</w:t>
      </w:r>
    </w:p>
    <w:p w14:paraId="0325B070" w14:textId="52EDEEE3" w:rsidR="00447EC2" w:rsidRPr="00447EC2" w:rsidRDefault="00447EC2" w:rsidP="00447EC2">
      <w:pPr>
        <w:shd w:val="clear" w:color="auto" w:fill="FFFFFF"/>
        <w:spacing w:after="0"/>
        <w:jc w:val="both"/>
        <w:rPr>
          <w:rFonts w:ascii="Garamond" w:eastAsia="Times New Roman" w:hAnsi="Garamond" w:cs="Times New Roman"/>
          <w:sz w:val="24"/>
          <w:szCs w:val="24"/>
          <w:lang w:eastAsia="ko-KR"/>
        </w:rPr>
      </w:pPr>
      <w:r w:rsidRPr="00447EC2">
        <w:rPr>
          <w:rFonts w:ascii="Garamond" w:eastAsia="Times New Roman" w:hAnsi="Garamond" w:cs="Times New Roman"/>
          <w:b/>
          <w:bCs/>
          <w:sz w:val="24"/>
          <w:szCs w:val="24"/>
          <w:lang w:eastAsia="ko-KR"/>
        </w:rPr>
        <w:t xml:space="preserve">Academic Integrity: </w:t>
      </w:r>
      <w:r w:rsidRPr="00447EC2">
        <w:rPr>
          <w:rFonts w:ascii="Garamond" w:eastAsia="Times New Roman" w:hAnsi="Garamond" w:cs="Times New Roman"/>
          <w:sz w:val="24"/>
          <w:szCs w:val="24"/>
          <w:lang w:eastAsia="ko-KR"/>
        </w:rPr>
        <w:t xml:space="preserve">Please familiarize yourself with UD policies regarding academic dishonesty. To falsify the results of one's research, to steal the words or ideas of another, to cheat on an assignment, to re-submit the same assignment for different classes, or to allow or assist another to commit these acts </w:t>
      </w:r>
      <w:r w:rsidR="00C22B54" w:rsidRPr="00447EC2">
        <w:rPr>
          <w:rFonts w:ascii="Garamond" w:eastAsia="Times New Roman" w:hAnsi="Garamond" w:cs="Times New Roman"/>
          <w:sz w:val="24"/>
          <w:szCs w:val="24"/>
          <w:lang w:eastAsia="ko-KR"/>
        </w:rPr>
        <w:t>corrupt</w:t>
      </w:r>
      <w:r w:rsidRPr="00447EC2">
        <w:rPr>
          <w:rFonts w:ascii="Garamond" w:eastAsia="Times New Roman" w:hAnsi="Garamond" w:cs="Times New Roman"/>
          <w:sz w:val="24"/>
          <w:szCs w:val="24"/>
          <w:lang w:eastAsia="ko-KR"/>
        </w:rPr>
        <w:t xml:space="preserve"> the educational process. Students are expected to do their own work and neither give nor receive unauthorized assistance. Complete details of the university's academic integrity policies and procedures can be found at sites.udel.edu/studentconduct/sgup/Office of Student Conduct, 218 Hullihen Hall, (302) 831-2117. E-mail: student-conduct@udel.edu</w:t>
      </w:r>
    </w:p>
    <w:p w14:paraId="6F248D8F" w14:textId="77777777" w:rsidR="00447EC2" w:rsidRDefault="00447EC2" w:rsidP="00447EC2">
      <w:pPr>
        <w:shd w:val="clear" w:color="auto" w:fill="FFFFFF"/>
        <w:spacing w:after="0"/>
        <w:jc w:val="both"/>
        <w:rPr>
          <w:rFonts w:ascii="Garamond" w:eastAsia="Times New Roman" w:hAnsi="Garamond" w:cs="Times New Roman"/>
          <w:b/>
          <w:bCs/>
          <w:sz w:val="24"/>
          <w:szCs w:val="24"/>
          <w:lang w:eastAsia="ko-KR"/>
        </w:rPr>
      </w:pPr>
    </w:p>
    <w:p w14:paraId="57EE5AC7" w14:textId="75780325" w:rsidR="00447EC2" w:rsidRDefault="00447EC2" w:rsidP="00447EC2">
      <w:pPr>
        <w:shd w:val="clear" w:color="auto" w:fill="FFFFFF"/>
        <w:spacing w:after="0"/>
        <w:jc w:val="both"/>
        <w:rPr>
          <w:rFonts w:ascii="Garamond" w:eastAsia="Times New Roman" w:hAnsi="Garamond" w:cs="Times New Roman"/>
          <w:sz w:val="24"/>
          <w:szCs w:val="24"/>
          <w:lang w:eastAsia="ko-KR"/>
        </w:rPr>
      </w:pPr>
      <w:r w:rsidRPr="00447EC2">
        <w:rPr>
          <w:rFonts w:ascii="Garamond" w:eastAsia="Times New Roman" w:hAnsi="Garamond" w:cs="Times New Roman"/>
          <w:b/>
          <w:bCs/>
          <w:sz w:val="24"/>
          <w:szCs w:val="24"/>
          <w:lang w:eastAsia="ko-KR"/>
        </w:rPr>
        <w:t xml:space="preserve">Harassment and Discrimination: </w:t>
      </w:r>
      <w:r w:rsidRPr="00447EC2">
        <w:rPr>
          <w:rFonts w:ascii="Garamond" w:eastAsia="Times New Roman" w:hAnsi="Garamond" w:cs="Times New Roman"/>
          <w:sz w:val="24"/>
          <w:szCs w:val="24"/>
          <w:lang w:eastAsia="ko-KR"/>
        </w:rPr>
        <w:t>The University of Delaware works to promote an academic and work environment that is free from all forms of discrimination, including harassment. As a member of the community, your rights, resource and responsibilities are reflected in the non-discrimination and sexual misconduct policies.  Please familiarize yourself with these policies at www.udel.edu/oei . You can report any concerns to the University’s Office of Equity &amp; Inclusion, at 305 Hullihen Hall, (302) 831-8063 or you can report anonymously through UD Police (302) 831-2222 or the Ethics</w:t>
      </w:r>
      <w:r w:rsidR="00B8610E">
        <w:rPr>
          <w:rFonts w:ascii="Garamond" w:eastAsia="Times New Roman" w:hAnsi="Garamond" w:cs="Times New Roman"/>
          <w:sz w:val="24"/>
          <w:szCs w:val="24"/>
          <w:lang w:eastAsia="ko-KR"/>
        </w:rPr>
        <w:t xml:space="preserve"> </w:t>
      </w:r>
      <w:r w:rsidRPr="00447EC2">
        <w:rPr>
          <w:rFonts w:ascii="Garamond" w:eastAsia="Times New Roman" w:hAnsi="Garamond" w:cs="Times New Roman"/>
          <w:sz w:val="24"/>
          <w:szCs w:val="24"/>
          <w:lang w:eastAsia="ko-KR"/>
        </w:rPr>
        <w:t>Point Compliance Hotline at www1.udel.edu/compliance. You can also report any violation of UD policy on harassment, discrimination, or abuse of any person at this site: sites.udel.edu/sexual</w:t>
      </w:r>
      <w:r w:rsidR="00B8610E">
        <w:rPr>
          <w:rFonts w:ascii="Garamond" w:eastAsia="Times New Roman" w:hAnsi="Garamond" w:cs="Times New Roman"/>
          <w:sz w:val="24"/>
          <w:szCs w:val="24"/>
          <w:lang w:eastAsia="ko-KR"/>
        </w:rPr>
        <w:t xml:space="preserve"> </w:t>
      </w:r>
      <w:r w:rsidRPr="00447EC2">
        <w:rPr>
          <w:rFonts w:ascii="Garamond" w:eastAsia="Times New Roman" w:hAnsi="Garamond" w:cs="Times New Roman"/>
          <w:sz w:val="24"/>
          <w:szCs w:val="24"/>
          <w:lang w:eastAsia="ko-KR"/>
        </w:rPr>
        <w:t>misconduct/how-to-report/</w:t>
      </w:r>
    </w:p>
    <w:p w14:paraId="599794BF" w14:textId="77777777" w:rsidR="004E5584" w:rsidRPr="00447EC2" w:rsidRDefault="004E5584" w:rsidP="00447EC2">
      <w:pPr>
        <w:shd w:val="clear" w:color="auto" w:fill="FFFFFF"/>
        <w:spacing w:after="0"/>
        <w:jc w:val="both"/>
        <w:rPr>
          <w:rFonts w:ascii="Garamond" w:eastAsia="Times New Roman" w:hAnsi="Garamond" w:cs="Times New Roman"/>
          <w:sz w:val="24"/>
          <w:szCs w:val="24"/>
          <w:lang w:eastAsia="ko-KR"/>
        </w:rPr>
      </w:pPr>
    </w:p>
    <w:p w14:paraId="6E1D76EF" w14:textId="6B7B3A13" w:rsidR="00447EC2" w:rsidRPr="00447EC2" w:rsidRDefault="00447EC2" w:rsidP="00447EC2">
      <w:pPr>
        <w:shd w:val="clear" w:color="auto" w:fill="FFFFFF"/>
        <w:spacing w:after="0"/>
        <w:jc w:val="both"/>
        <w:rPr>
          <w:rFonts w:ascii="Garamond" w:eastAsia="Times New Roman" w:hAnsi="Garamond" w:cs="Times New Roman"/>
          <w:sz w:val="24"/>
          <w:szCs w:val="24"/>
          <w:lang w:eastAsia="ko-KR"/>
        </w:rPr>
      </w:pPr>
      <w:r w:rsidRPr="00447EC2">
        <w:rPr>
          <w:rFonts w:ascii="Garamond" w:eastAsia="Times New Roman" w:hAnsi="Garamond" w:cs="Times New Roman"/>
          <w:b/>
          <w:bCs/>
          <w:sz w:val="24"/>
          <w:szCs w:val="24"/>
          <w:lang w:eastAsia="ko-KR"/>
        </w:rPr>
        <w:t xml:space="preserve">Faculty Statement on Disclosures of Instances of Sexual Misconduct: </w:t>
      </w:r>
      <w:r w:rsidRPr="00447EC2">
        <w:rPr>
          <w:rFonts w:ascii="Garamond" w:eastAsia="Times New Roman" w:hAnsi="Garamond" w:cs="Times New Roman"/>
          <w:sz w:val="24"/>
          <w:szCs w:val="24"/>
          <w:lang w:eastAsia="ko-KR"/>
        </w:rPr>
        <w:t xml:space="preserve">If, at any time during this course, I happen to be made aware that a student may have been the victim of sexual misconduct (including sexual harassment, sexual violence, domestic/dating violence, or stalking), I am obligated by federal law to inform the university’s Title IX Coordinator. The university needs to know information about such incidents to, not only offer resources, but to ensure a safe campus environment. The Title IX Coordinator will decide if the incident should be examined further. If such a situation is disclosed to me in class, in a paper assignment, or in office hours, I promise to protect your privacy--I will not disclose the incident to anyone but the Title IX Coordinator. </w:t>
      </w:r>
    </w:p>
    <w:p w14:paraId="7B689C37" w14:textId="77777777" w:rsidR="00447EC2" w:rsidRPr="00447EC2" w:rsidRDefault="00447EC2" w:rsidP="00447EC2">
      <w:pPr>
        <w:shd w:val="clear" w:color="auto" w:fill="FFFFFF"/>
        <w:spacing w:after="0"/>
        <w:jc w:val="both"/>
        <w:rPr>
          <w:rFonts w:ascii="Garamond" w:eastAsia="Times New Roman" w:hAnsi="Garamond" w:cs="Times New Roman"/>
          <w:sz w:val="24"/>
          <w:szCs w:val="24"/>
          <w:lang w:eastAsia="ko-KR"/>
        </w:rPr>
      </w:pPr>
      <w:r w:rsidRPr="00447EC2">
        <w:rPr>
          <w:rFonts w:ascii="Garamond" w:eastAsia="Times New Roman" w:hAnsi="Garamond" w:cs="Times New Roman"/>
          <w:sz w:val="24"/>
          <w:szCs w:val="24"/>
          <w:lang w:eastAsia="ko-KR"/>
        </w:rPr>
        <w:t>For more information on Sexual Misconduct policies, where to get help, and reporting information, please refer to www.udel.edu/sexualmisconduct. At UD, we provide 24/7/365 crisis assistance and victim advocacy and counseling. Contact 302-831-1001 to get in touch with a sexual offense support advocate, as well as confidential and anonymous counseling services for other concerns.</w:t>
      </w:r>
    </w:p>
    <w:p w14:paraId="03E6EB59" w14:textId="77777777" w:rsidR="00447EC2" w:rsidRDefault="00447EC2" w:rsidP="00447EC2">
      <w:pPr>
        <w:shd w:val="clear" w:color="auto" w:fill="FFFFFF"/>
        <w:spacing w:after="0"/>
        <w:jc w:val="both"/>
        <w:rPr>
          <w:rFonts w:ascii="Garamond" w:eastAsia="Times New Roman" w:hAnsi="Garamond" w:cs="Times New Roman"/>
          <w:b/>
          <w:bCs/>
          <w:sz w:val="24"/>
          <w:szCs w:val="24"/>
          <w:lang w:eastAsia="ko-KR"/>
        </w:rPr>
      </w:pPr>
    </w:p>
    <w:p w14:paraId="773DF1AC" w14:textId="05B1751F" w:rsidR="00447EC2" w:rsidRPr="00447EC2" w:rsidRDefault="00447EC2" w:rsidP="00447EC2">
      <w:pPr>
        <w:shd w:val="clear" w:color="auto" w:fill="FFFFFF"/>
        <w:spacing w:after="0"/>
        <w:jc w:val="both"/>
        <w:rPr>
          <w:rFonts w:ascii="Garamond" w:eastAsia="Times New Roman" w:hAnsi="Garamond" w:cs="Times New Roman"/>
          <w:sz w:val="24"/>
          <w:szCs w:val="24"/>
          <w:lang w:eastAsia="ko-KR"/>
        </w:rPr>
      </w:pPr>
      <w:r w:rsidRPr="00447EC2">
        <w:rPr>
          <w:rFonts w:ascii="Garamond" w:eastAsia="Times New Roman" w:hAnsi="Garamond" w:cs="Times New Roman"/>
          <w:b/>
          <w:bCs/>
          <w:sz w:val="24"/>
          <w:szCs w:val="24"/>
          <w:lang w:eastAsia="ko-KR"/>
        </w:rPr>
        <w:t xml:space="preserve">Accommodations for Students with Disabilities: </w:t>
      </w:r>
      <w:r w:rsidRPr="00447EC2">
        <w:rPr>
          <w:rFonts w:ascii="Garamond" w:eastAsia="Times New Roman" w:hAnsi="Garamond" w:cs="Times New Roman"/>
          <w:sz w:val="24"/>
          <w:szCs w:val="24"/>
          <w:lang w:eastAsia="ko-KR"/>
        </w:rPr>
        <w:t xml:space="preserve">Any student who thinks he/she may need an accommodation based on a disability should contact the Office of Disability Support Services (DSS) office as soon as possible. Students who have documentation of their need for accommodation should register via the SAM platform: an-des.accessiblelearning.com/UDEL/. Reach DSS in the </w:t>
      </w:r>
      <w:r w:rsidRPr="00447EC2">
        <w:rPr>
          <w:rFonts w:ascii="Garamond" w:eastAsia="Times New Roman" w:hAnsi="Garamond" w:cs="Times New Roman"/>
          <w:sz w:val="24"/>
          <w:szCs w:val="24"/>
          <w:lang w:eastAsia="ko-KR"/>
        </w:rPr>
        <w:lastRenderedPageBreak/>
        <w:t>following ways: Phone: 302-831-4643, fax: 302-831-3261, DSS website. Email: dssoffice@udel.edu or visit at 240 Academy Street, Alison Hall Suite 130. Note: During Covid-19 response call ahead to schedule an appointment to come to office</w:t>
      </w:r>
    </w:p>
    <w:p w14:paraId="347C3F93" w14:textId="77777777" w:rsidR="00447EC2" w:rsidRDefault="00447EC2" w:rsidP="00447EC2">
      <w:pPr>
        <w:shd w:val="clear" w:color="auto" w:fill="FFFFFF"/>
        <w:spacing w:after="0"/>
        <w:jc w:val="both"/>
        <w:rPr>
          <w:rFonts w:ascii="Garamond" w:eastAsia="Times New Roman" w:hAnsi="Garamond" w:cs="Times New Roman"/>
          <w:b/>
          <w:bCs/>
          <w:sz w:val="24"/>
          <w:szCs w:val="24"/>
          <w:lang w:eastAsia="ko-KR"/>
        </w:rPr>
      </w:pPr>
    </w:p>
    <w:p w14:paraId="1E6D51E4" w14:textId="4CDF7AF1" w:rsidR="00447EC2" w:rsidRPr="00447EC2" w:rsidRDefault="00447EC2" w:rsidP="00447EC2">
      <w:pPr>
        <w:shd w:val="clear" w:color="auto" w:fill="FFFFFF"/>
        <w:spacing w:after="0"/>
        <w:jc w:val="both"/>
        <w:rPr>
          <w:rFonts w:ascii="Garamond" w:eastAsia="Times New Roman" w:hAnsi="Garamond" w:cs="Times New Roman"/>
          <w:sz w:val="24"/>
          <w:szCs w:val="24"/>
          <w:lang w:eastAsia="ko-KR"/>
        </w:rPr>
      </w:pPr>
      <w:r w:rsidRPr="00447EC2">
        <w:rPr>
          <w:rFonts w:ascii="Garamond" w:eastAsia="Times New Roman" w:hAnsi="Garamond" w:cs="Times New Roman"/>
          <w:b/>
          <w:bCs/>
          <w:sz w:val="24"/>
          <w:szCs w:val="24"/>
          <w:lang w:eastAsia="ko-KR"/>
        </w:rPr>
        <w:t xml:space="preserve">Non-Discrimination: </w:t>
      </w:r>
      <w:r w:rsidRPr="00447EC2">
        <w:rPr>
          <w:rFonts w:ascii="Garamond" w:eastAsia="Times New Roman" w:hAnsi="Garamond" w:cs="Times New Roman"/>
          <w:sz w:val="24"/>
          <w:szCs w:val="24"/>
          <w:lang w:eastAsia="ko-KR"/>
        </w:rPr>
        <w:t>The University of Delaware does not discriminate against any person on the basis of race, color, national origin, sex, gender identity or expression, sexual orientation, genetic information, marital status, disability, religion, age, veteran status or any other characteristic protected by applicable law in its employment, educational programs and activities, admissions policies, and scholarship and loan programs as required by Title IX of the Educational Amendments of 1972, the Ameri-cans with Disabilities Act of 1990, Section 504 of the Rehabilitation Act of 1973, Title VII of the Civil Rights Act of 1964, and other applicable statutes and University policies. The University of Delaware also prohibits unlawful harassment including sexual harassment and sexual violence.</w:t>
      </w:r>
    </w:p>
    <w:p w14:paraId="62EB5BC9" w14:textId="77777777" w:rsidR="00447EC2" w:rsidRPr="00447EC2" w:rsidRDefault="00447EC2" w:rsidP="00447EC2">
      <w:pPr>
        <w:shd w:val="clear" w:color="auto" w:fill="FFFFFF"/>
        <w:spacing w:after="0"/>
        <w:jc w:val="both"/>
        <w:rPr>
          <w:rFonts w:ascii="Garamond" w:eastAsia="Times New Roman" w:hAnsi="Garamond" w:cs="Times New Roman"/>
          <w:sz w:val="24"/>
          <w:szCs w:val="24"/>
          <w:lang w:eastAsia="ko-KR"/>
        </w:rPr>
      </w:pPr>
      <w:r w:rsidRPr="00447EC2">
        <w:rPr>
          <w:rFonts w:ascii="Garamond" w:eastAsia="Times New Roman" w:hAnsi="Garamond" w:cs="Times New Roman"/>
          <w:sz w:val="24"/>
          <w:szCs w:val="24"/>
          <w:lang w:eastAsia="ko-KR"/>
        </w:rPr>
        <w:t>For inquiries or complaints related to non-discrimination policies, please contact: Office of Equity &amp; Inclusion- oei@udel.edu, 305 Hullihen Hall Newark, DE 19716 (302) 831-8063</w:t>
      </w:r>
    </w:p>
    <w:p w14:paraId="303771E6" w14:textId="7A2D248E" w:rsidR="00150A80" w:rsidRDefault="00447EC2" w:rsidP="00447EC2">
      <w:pPr>
        <w:shd w:val="clear" w:color="auto" w:fill="FFFFFF"/>
        <w:spacing w:after="0"/>
        <w:jc w:val="both"/>
        <w:rPr>
          <w:rFonts w:ascii="Garamond" w:eastAsia="Times New Roman" w:hAnsi="Garamond" w:cs="Times New Roman"/>
          <w:b/>
          <w:color w:val="000000"/>
          <w:sz w:val="24"/>
          <w:szCs w:val="24"/>
        </w:rPr>
        <w:sectPr w:rsidR="00150A80" w:rsidSect="00307225">
          <w:type w:val="continuous"/>
          <w:pgSz w:w="12240" w:h="15840"/>
          <w:pgMar w:top="1440" w:right="1440" w:bottom="1440" w:left="1440" w:header="720" w:footer="720" w:gutter="0"/>
          <w:cols w:space="720"/>
          <w:docGrid w:linePitch="360"/>
        </w:sectPr>
      </w:pPr>
      <w:r w:rsidRPr="00447EC2">
        <w:rPr>
          <w:rFonts w:ascii="Garamond" w:eastAsia="Times New Roman" w:hAnsi="Garamond" w:cs="Times New Roman"/>
          <w:sz w:val="24"/>
          <w:szCs w:val="24"/>
          <w:lang w:eastAsia="ko-KR"/>
        </w:rPr>
        <w:t>For complaints related to Section 504 of the Rehabilitation Act of 1973 and/or the Americans with Disabilities Act, please contact: Office of Disability Support Services, dssoffice@udel.edu, Alison Hall, Suite 130, Newark, DE 19716 (302) 831-4643 OR contact the U.S. Department of Education - Office for Civil Rights</w:t>
      </w:r>
    </w:p>
    <w:p w14:paraId="5A19612A" w14:textId="77777777" w:rsidR="001B3F19" w:rsidRDefault="005811DB" w:rsidP="00C97EF6">
      <w:pPr>
        <w:pStyle w:val="Default"/>
        <w:jc w:val="both"/>
      </w:pPr>
      <w:r w:rsidRPr="00DC71DE">
        <w:rPr>
          <w:b/>
        </w:rPr>
        <w:lastRenderedPageBreak/>
        <w:t>Course Schedule Readings:</w:t>
      </w:r>
      <w:r w:rsidR="003B617A" w:rsidRPr="003B617A">
        <w:rPr>
          <w:b/>
        </w:rPr>
        <w:t xml:space="preserve"> </w:t>
      </w:r>
    </w:p>
    <w:p w14:paraId="1AB17595" w14:textId="77777777" w:rsidR="0046701B" w:rsidRDefault="0046701B" w:rsidP="0073697B">
      <w:pPr>
        <w:pStyle w:val="Default"/>
      </w:pPr>
    </w:p>
    <w:tbl>
      <w:tblPr>
        <w:tblW w:w="14168" w:type="dxa"/>
        <w:tblLook w:val="04A0" w:firstRow="1" w:lastRow="0" w:firstColumn="1" w:lastColumn="0" w:noHBand="0" w:noVBand="1"/>
      </w:tblPr>
      <w:tblGrid>
        <w:gridCol w:w="914"/>
        <w:gridCol w:w="1068"/>
        <w:gridCol w:w="3838"/>
        <w:gridCol w:w="8348"/>
      </w:tblGrid>
      <w:tr w:rsidR="006F5C0E" w:rsidRPr="006F5C0E" w14:paraId="657815D2" w14:textId="77777777" w:rsidTr="0071799E">
        <w:trPr>
          <w:trHeight w:val="315"/>
        </w:trPr>
        <w:tc>
          <w:tcPr>
            <w:tcW w:w="642" w:type="dxa"/>
            <w:tcBorders>
              <w:top w:val="single" w:sz="4" w:space="0" w:color="auto"/>
              <w:left w:val="nil"/>
              <w:bottom w:val="double" w:sz="6" w:space="0" w:color="auto"/>
              <w:right w:val="nil"/>
            </w:tcBorders>
            <w:shd w:val="clear" w:color="auto" w:fill="auto"/>
            <w:noWrap/>
            <w:vAlign w:val="center"/>
            <w:hideMark/>
          </w:tcPr>
          <w:p w14:paraId="24F88922" w14:textId="77777777" w:rsidR="006F5C0E" w:rsidRPr="006F5C0E" w:rsidRDefault="006F5C0E" w:rsidP="006F5C0E">
            <w:pPr>
              <w:spacing w:after="0" w:line="240" w:lineRule="auto"/>
              <w:jc w:val="center"/>
              <w:rPr>
                <w:rFonts w:ascii="Garamond" w:eastAsia="Times New Roman" w:hAnsi="Garamond" w:cs="Calibri"/>
                <w:b/>
                <w:bCs/>
                <w:color w:val="000000"/>
                <w:sz w:val="18"/>
                <w:szCs w:val="18"/>
              </w:rPr>
            </w:pPr>
            <w:r w:rsidRPr="006F5C0E">
              <w:rPr>
                <w:rFonts w:ascii="Garamond" w:eastAsia="Times New Roman" w:hAnsi="Garamond" w:cs="Calibri"/>
                <w:b/>
                <w:bCs/>
                <w:color w:val="000000"/>
                <w:sz w:val="18"/>
                <w:szCs w:val="18"/>
              </w:rPr>
              <w:t>Week</w:t>
            </w:r>
          </w:p>
        </w:tc>
        <w:tc>
          <w:tcPr>
            <w:tcW w:w="1068" w:type="dxa"/>
            <w:tcBorders>
              <w:top w:val="single" w:sz="4" w:space="0" w:color="auto"/>
              <w:left w:val="nil"/>
              <w:bottom w:val="double" w:sz="6" w:space="0" w:color="auto"/>
              <w:right w:val="nil"/>
            </w:tcBorders>
            <w:shd w:val="clear" w:color="auto" w:fill="auto"/>
            <w:noWrap/>
            <w:vAlign w:val="center"/>
            <w:hideMark/>
          </w:tcPr>
          <w:p w14:paraId="6DB19313" w14:textId="77777777" w:rsidR="006F5C0E" w:rsidRPr="006F5C0E" w:rsidRDefault="006F5C0E" w:rsidP="006F5C0E">
            <w:pPr>
              <w:spacing w:after="0" w:line="240" w:lineRule="auto"/>
              <w:jc w:val="center"/>
              <w:rPr>
                <w:rFonts w:ascii="Garamond" w:eastAsia="Times New Roman" w:hAnsi="Garamond" w:cs="Calibri"/>
                <w:b/>
                <w:bCs/>
                <w:color w:val="000000"/>
                <w:sz w:val="18"/>
                <w:szCs w:val="18"/>
              </w:rPr>
            </w:pPr>
            <w:r w:rsidRPr="006F5C0E">
              <w:rPr>
                <w:rFonts w:ascii="Garamond" w:eastAsia="Times New Roman" w:hAnsi="Garamond" w:cs="Calibri"/>
                <w:b/>
                <w:bCs/>
                <w:color w:val="000000"/>
                <w:sz w:val="18"/>
                <w:szCs w:val="18"/>
              </w:rPr>
              <w:t>Date</w:t>
            </w:r>
          </w:p>
        </w:tc>
        <w:tc>
          <w:tcPr>
            <w:tcW w:w="3909" w:type="dxa"/>
            <w:tcBorders>
              <w:top w:val="single" w:sz="4" w:space="0" w:color="auto"/>
              <w:left w:val="nil"/>
              <w:bottom w:val="double" w:sz="6" w:space="0" w:color="auto"/>
              <w:right w:val="nil"/>
            </w:tcBorders>
            <w:shd w:val="clear" w:color="auto" w:fill="auto"/>
            <w:vAlign w:val="center"/>
            <w:hideMark/>
          </w:tcPr>
          <w:p w14:paraId="506422CF" w14:textId="77777777" w:rsidR="006F5C0E" w:rsidRPr="006F5C0E" w:rsidRDefault="006F5C0E" w:rsidP="006F5C0E">
            <w:pPr>
              <w:spacing w:after="0" w:line="240" w:lineRule="auto"/>
              <w:jc w:val="center"/>
              <w:rPr>
                <w:rFonts w:ascii="Garamond" w:eastAsia="Times New Roman" w:hAnsi="Garamond" w:cs="Calibri"/>
                <w:b/>
                <w:bCs/>
                <w:color w:val="000000"/>
                <w:sz w:val="18"/>
                <w:szCs w:val="18"/>
              </w:rPr>
            </w:pPr>
            <w:r w:rsidRPr="006F5C0E">
              <w:rPr>
                <w:rFonts w:ascii="Garamond" w:eastAsia="Times New Roman" w:hAnsi="Garamond" w:cs="Calibri"/>
                <w:b/>
                <w:bCs/>
                <w:color w:val="000000"/>
                <w:sz w:val="18"/>
                <w:szCs w:val="18"/>
              </w:rPr>
              <w:t>Topics</w:t>
            </w:r>
          </w:p>
        </w:tc>
        <w:tc>
          <w:tcPr>
            <w:tcW w:w="8549" w:type="dxa"/>
            <w:tcBorders>
              <w:top w:val="single" w:sz="4" w:space="0" w:color="auto"/>
              <w:left w:val="nil"/>
              <w:bottom w:val="double" w:sz="6" w:space="0" w:color="auto"/>
              <w:right w:val="nil"/>
            </w:tcBorders>
            <w:shd w:val="clear" w:color="auto" w:fill="auto"/>
            <w:vAlign w:val="center"/>
            <w:hideMark/>
          </w:tcPr>
          <w:p w14:paraId="2C98300C" w14:textId="77777777" w:rsidR="006F5C0E" w:rsidRPr="006F5C0E" w:rsidRDefault="006F5C0E" w:rsidP="006F5C0E">
            <w:pPr>
              <w:spacing w:after="0" w:line="240" w:lineRule="auto"/>
              <w:jc w:val="center"/>
              <w:rPr>
                <w:rFonts w:ascii="Garamond" w:eastAsia="Times New Roman" w:hAnsi="Garamond" w:cs="Calibri"/>
                <w:b/>
                <w:bCs/>
                <w:color w:val="000000"/>
                <w:sz w:val="18"/>
                <w:szCs w:val="18"/>
              </w:rPr>
            </w:pPr>
            <w:r w:rsidRPr="006F5C0E">
              <w:rPr>
                <w:rFonts w:ascii="Garamond" w:eastAsia="Times New Roman" w:hAnsi="Garamond" w:cs="Calibri"/>
                <w:b/>
                <w:bCs/>
                <w:color w:val="000000"/>
                <w:sz w:val="18"/>
                <w:szCs w:val="18"/>
              </w:rPr>
              <w:t>Readings</w:t>
            </w:r>
          </w:p>
        </w:tc>
      </w:tr>
      <w:tr w:rsidR="0041585D" w:rsidRPr="006F5C0E" w14:paraId="7C364595" w14:textId="77777777" w:rsidTr="0071799E">
        <w:trPr>
          <w:trHeight w:val="75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4AEA14D8" w14:textId="77777777" w:rsidR="0041585D" w:rsidRPr="006F5C0E" w:rsidRDefault="0041585D" w:rsidP="0041585D">
            <w:pPr>
              <w:spacing w:after="0" w:line="240" w:lineRule="auto"/>
              <w:jc w:val="center"/>
              <w:rPr>
                <w:rFonts w:ascii="Garamond" w:eastAsia="Times New Roman" w:hAnsi="Garamond" w:cs="Calibri"/>
                <w:color w:val="000000"/>
                <w:sz w:val="18"/>
                <w:szCs w:val="18"/>
              </w:rPr>
            </w:pPr>
            <w:r w:rsidRPr="006F5C0E">
              <w:rPr>
                <w:rFonts w:ascii="Garamond" w:eastAsia="Times New Roman" w:hAnsi="Garamond" w:cs="Calibri"/>
                <w:color w:val="000000"/>
                <w:sz w:val="18"/>
                <w:szCs w:val="18"/>
              </w:rPr>
              <w:t>1</w:t>
            </w:r>
          </w:p>
        </w:tc>
        <w:tc>
          <w:tcPr>
            <w:tcW w:w="1068" w:type="dxa"/>
            <w:tcBorders>
              <w:top w:val="nil"/>
              <w:left w:val="nil"/>
              <w:bottom w:val="single" w:sz="4" w:space="0" w:color="auto"/>
              <w:right w:val="single" w:sz="4" w:space="0" w:color="auto"/>
            </w:tcBorders>
            <w:shd w:val="clear" w:color="auto" w:fill="auto"/>
            <w:noWrap/>
            <w:vAlign w:val="center"/>
            <w:hideMark/>
          </w:tcPr>
          <w:p w14:paraId="112E9077" w14:textId="6A0BA47D" w:rsidR="0041585D" w:rsidRPr="006F5C0E" w:rsidRDefault="0041585D" w:rsidP="0041585D">
            <w:pPr>
              <w:spacing w:after="0" w:line="240" w:lineRule="auto"/>
              <w:jc w:val="center"/>
              <w:rPr>
                <w:rFonts w:ascii="Garamond" w:eastAsia="Times New Roman" w:hAnsi="Garamond" w:cs="Calibri"/>
                <w:color w:val="000000"/>
                <w:sz w:val="18"/>
                <w:szCs w:val="18"/>
              </w:rPr>
            </w:pPr>
            <w:r>
              <w:rPr>
                <w:rFonts w:ascii="Garamond" w:eastAsia="Times New Roman" w:hAnsi="Garamond" w:cs="Calibri"/>
                <w:color w:val="000000"/>
                <w:sz w:val="18"/>
                <w:szCs w:val="18"/>
              </w:rPr>
              <w:t>Feb 7</w:t>
            </w:r>
          </w:p>
        </w:tc>
        <w:tc>
          <w:tcPr>
            <w:tcW w:w="3909" w:type="dxa"/>
            <w:tcBorders>
              <w:top w:val="nil"/>
              <w:left w:val="nil"/>
              <w:bottom w:val="single" w:sz="4" w:space="0" w:color="auto"/>
              <w:right w:val="single" w:sz="4" w:space="0" w:color="auto"/>
            </w:tcBorders>
            <w:shd w:val="clear" w:color="auto" w:fill="auto"/>
            <w:vAlign w:val="center"/>
            <w:hideMark/>
          </w:tcPr>
          <w:p w14:paraId="4268F195" w14:textId="61493B5B" w:rsidR="0041585D" w:rsidRPr="006F5C0E" w:rsidRDefault="0041585D" w:rsidP="0041585D">
            <w:pPr>
              <w:spacing w:after="0" w:line="240" w:lineRule="auto"/>
              <w:rPr>
                <w:rFonts w:ascii="Garamond" w:eastAsia="Times New Roman" w:hAnsi="Garamond" w:cs="Calibri"/>
                <w:color w:val="000000"/>
                <w:sz w:val="18"/>
                <w:szCs w:val="18"/>
              </w:rPr>
            </w:pPr>
            <w:r w:rsidRPr="006F5C0E">
              <w:rPr>
                <w:rFonts w:ascii="Garamond" w:eastAsia="Times New Roman" w:hAnsi="Garamond" w:cs="Calibri"/>
                <w:color w:val="000000"/>
                <w:sz w:val="18"/>
                <w:szCs w:val="18"/>
              </w:rPr>
              <w:t xml:space="preserve">Potential outcomes. Selection bias. Omitted variable bias. Causal effects. Experimental design. </w:t>
            </w:r>
          </w:p>
        </w:tc>
        <w:tc>
          <w:tcPr>
            <w:tcW w:w="8549" w:type="dxa"/>
            <w:tcBorders>
              <w:top w:val="double" w:sz="6" w:space="0" w:color="auto"/>
              <w:left w:val="nil"/>
              <w:bottom w:val="single" w:sz="4" w:space="0" w:color="auto"/>
              <w:right w:val="single" w:sz="4" w:space="0" w:color="auto"/>
            </w:tcBorders>
            <w:shd w:val="clear" w:color="auto" w:fill="auto"/>
            <w:vAlign w:val="bottom"/>
            <w:hideMark/>
          </w:tcPr>
          <w:p w14:paraId="4F08BE7D" w14:textId="77777777" w:rsidR="0041585D" w:rsidRPr="00110B21" w:rsidRDefault="0041585D" w:rsidP="0041585D">
            <w:pPr>
              <w:spacing w:after="0" w:line="240" w:lineRule="auto"/>
              <w:rPr>
                <w:rFonts w:ascii="Garamond" w:eastAsia="Times New Roman" w:hAnsi="Garamond" w:cs="Calibri"/>
                <w:b/>
                <w:iCs/>
                <w:color w:val="000000"/>
                <w:sz w:val="18"/>
                <w:szCs w:val="18"/>
              </w:rPr>
            </w:pPr>
            <w:r w:rsidRPr="00110B21">
              <w:rPr>
                <w:rFonts w:ascii="Garamond" w:eastAsia="Times New Roman" w:hAnsi="Garamond" w:cs="Calibri"/>
                <w:b/>
                <w:iCs/>
                <w:color w:val="000000"/>
                <w:sz w:val="18"/>
                <w:szCs w:val="18"/>
              </w:rPr>
              <w:t xml:space="preserve">Required: </w:t>
            </w:r>
          </w:p>
          <w:p w14:paraId="1D80A7B1" w14:textId="267FFDC2" w:rsidR="0041585D" w:rsidRDefault="0041585D" w:rsidP="0041585D">
            <w:pPr>
              <w:spacing w:after="0" w:line="240" w:lineRule="auto"/>
              <w:rPr>
                <w:rFonts w:ascii="Garamond" w:eastAsia="Times New Roman" w:hAnsi="Garamond" w:cs="Calibri"/>
                <w:color w:val="000000"/>
                <w:sz w:val="18"/>
                <w:szCs w:val="18"/>
              </w:rPr>
            </w:pPr>
            <w:r w:rsidRPr="006F5C0E">
              <w:rPr>
                <w:rFonts w:ascii="Garamond" w:eastAsia="Times New Roman" w:hAnsi="Garamond" w:cs="Calibri"/>
                <w:i/>
                <w:iCs/>
                <w:color w:val="000000"/>
                <w:sz w:val="18"/>
                <w:szCs w:val="18"/>
              </w:rPr>
              <w:t>Mixtape,</w:t>
            </w:r>
            <w:r>
              <w:rPr>
                <w:rFonts w:ascii="Garamond" w:eastAsia="Times New Roman" w:hAnsi="Garamond" w:cs="Calibri"/>
                <w:color w:val="000000"/>
                <w:sz w:val="18"/>
                <w:szCs w:val="18"/>
              </w:rPr>
              <w:t xml:space="preserve"> Chapters 1-2, 4; </w:t>
            </w:r>
            <w:r w:rsidRPr="0041585D">
              <w:rPr>
                <w:rFonts w:ascii="Garamond" w:eastAsia="Times New Roman" w:hAnsi="Garamond" w:cs="Calibri"/>
                <w:color w:val="000000"/>
                <w:sz w:val="18"/>
                <w:szCs w:val="18"/>
              </w:rPr>
              <w:t>Holland, Paul W. "Statistics and causal inference." Journal of the American statistical Association 81.396 (1986): 945-960.;</w:t>
            </w:r>
          </w:p>
          <w:p w14:paraId="6BADE274" w14:textId="77777777" w:rsidR="0041585D" w:rsidRPr="00110B21" w:rsidRDefault="0041585D" w:rsidP="0041585D">
            <w:pPr>
              <w:spacing w:after="0" w:line="240" w:lineRule="auto"/>
              <w:rPr>
                <w:rFonts w:ascii="Garamond" w:eastAsia="Times New Roman" w:hAnsi="Garamond" w:cs="Calibri"/>
                <w:b/>
                <w:color w:val="000000"/>
                <w:sz w:val="18"/>
                <w:szCs w:val="18"/>
              </w:rPr>
            </w:pPr>
            <w:r w:rsidRPr="00110B21">
              <w:rPr>
                <w:rFonts w:ascii="Garamond" w:eastAsia="Times New Roman" w:hAnsi="Garamond" w:cs="Calibri"/>
                <w:b/>
                <w:color w:val="000000"/>
                <w:sz w:val="18"/>
                <w:szCs w:val="18"/>
              </w:rPr>
              <w:t xml:space="preserve">Supplemental: </w:t>
            </w:r>
          </w:p>
          <w:p w14:paraId="08D55BFA" w14:textId="5520E96A" w:rsidR="0041585D" w:rsidRPr="006F5C0E" w:rsidRDefault="0041585D" w:rsidP="0041585D">
            <w:pPr>
              <w:spacing w:after="0" w:line="240" w:lineRule="auto"/>
              <w:rPr>
                <w:rFonts w:ascii="Garamond" w:eastAsia="Times New Roman" w:hAnsi="Garamond" w:cs="Calibri"/>
                <w:color w:val="000000"/>
                <w:sz w:val="18"/>
                <w:szCs w:val="18"/>
              </w:rPr>
            </w:pPr>
            <w:r w:rsidRPr="006F5C0E">
              <w:rPr>
                <w:rFonts w:ascii="Garamond" w:eastAsia="Times New Roman" w:hAnsi="Garamond" w:cs="Calibri"/>
                <w:i/>
                <w:iCs/>
                <w:color w:val="000000"/>
                <w:sz w:val="18"/>
                <w:szCs w:val="18"/>
              </w:rPr>
              <w:t xml:space="preserve">Mastering Metrics, </w:t>
            </w:r>
            <w:r w:rsidRPr="006F5C0E">
              <w:rPr>
                <w:rFonts w:ascii="Garamond" w:eastAsia="Times New Roman" w:hAnsi="Garamond" w:cs="Calibri"/>
                <w:color w:val="000000"/>
                <w:sz w:val="18"/>
                <w:szCs w:val="18"/>
              </w:rPr>
              <w:t>pages 82-98; Marinescu, Ioana E., Patrick N. Lawlor, and Konrad P. Kording. "Quasi-experimental causality in neuroscience and behavioural research." Nature human behaviour (2018): 1.</w:t>
            </w:r>
            <w:r>
              <w:rPr>
                <w:rFonts w:ascii="Garamond" w:eastAsia="Times New Roman" w:hAnsi="Garamond" w:cs="Calibri"/>
                <w:color w:val="000000"/>
                <w:sz w:val="18"/>
                <w:szCs w:val="18"/>
              </w:rPr>
              <w:t xml:space="preserve"> </w:t>
            </w:r>
            <w:r w:rsidRPr="0041585D">
              <w:rPr>
                <w:rFonts w:ascii="Garamond" w:eastAsia="Times New Roman" w:hAnsi="Garamond" w:cs="Calibri"/>
                <w:i/>
                <w:iCs/>
                <w:color w:val="000000"/>
                <w:sz w:val="18"/>
                <w:szCs w:val="18"/>
              </w:rPr>
              <w:t>Causal Inference for Statistics, Social, and Biomedical Sciences</w:t>
            </w:r>
            <w:r w:rsidRPr="0041585D">
              <w:rPr>
                <w:rFonts w:ascii="Garamond" w:eastAsia="Times New Roman" w:hAnsi="Garamond" w:cs="Calibri"/>
                <w:color w:val="000000"/>
                <w:sz w:val="18"/>
                <w:szCs w:val="18"/>
              </w:rPr>
              <w:t xml:space="preserve">, Chapters 1; </w:t>
            </w:r>
            <w:r w:rsidRPr="0041585D">
              <w:rPr>
                <w:rFonts w:ascii="Garamond" w:eastAsia="Times New Roman" w:hAnsi="Garamond" w:cs="Calibri"/>
                <w:i/>
                <w:iCs/>
                <w:color w:val="000000"/>
                <w:sz w:val="18"/>
                <w:szCs w:val="18"/>
              </w:rPr>
              <w:t>Counterfactuals and Causal Inference</w:t>
            </w:r>
            <w:r w:rsidRPr="0041585D">
              <w:rPr>
                <w:rFonts w:ascii="Garamond" w:eastAsia="Times New Roman" w:hAnsi="Garamond" w:cs="Calibri"/>
                <w:color w:val="000000"/>
                <w:sz w:val="18"/>
                <w:szCs w:val="18"/>
              </w:rPr>
              <w:t>, Chapter 1; Duflo, Esther, Rachel Glennerster, and Michael Kremer. "Using randomization in development economics research: A toolkit." Handbook of development economics 4 (2007): 3895-3962. (sect. 1,2,4,6,7,8)</w:t>
            </w:r>
          </w:p>
        </w:tc>
      </w:tr>
      <w:tr w:rsidR="0041585D" w:rsidRPr="006F5C0E" w14:paraId="7D95A45F" w14:textId="77777777" w:rsidTr="0041585D">
        <w:trPr>
          <w:trHeight w:val="12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49185512" w14:textId="77777777" w:rsidR="0041585D" w:rsidRPr="006F5C0E" w:rsidRDefault="0041585D" w:rsidP="0041585D">
            <w:pPr>
              <w:spacing w:after="0" w:line="240" w:lineRule="auto"/>
              <w:jc w:val="center"/>
              <w:rPr>
                <w:rFonts w:ascii="Garamond" w:eastAsia="Times New Roman" w:hAnsi="Garamond" w:cs="Calibri"/>
                <w:color w:val="000000"/>
                <w:sz w:val="18"/>
                <w:szCs w:val="18"/>
              </w:rPr>
            </w:pPr>
            <w:r w:rsidRPr="006F5C0E">
              <w:rPr>
                <w:rFonts w:ascii="Garamond" w:eastAsia="Times New Roman" w:hAnsi="Garamond" w:cs="Calibri"/>
                <w:color w:val="000000"/>
                <w:sz w:val="18"/>
                <w:szCs w:val="18"/>
              </w:rPr>
              <w:t>2</w:t>
            </w:r>
          </w:p>
        </w:tc>
        <w:tc>
          <w:tcPr>
            <w:tcW w:w="1068" w:type="dxa"/>
            <w:tcBorders>
              <w:top w:val="nil"/>
              <w:left w:val="nil"/>
              <w:bottom w:val="single" w:sz="4" w:space="0" w:color="auto"/>
              <w:right w:val="single" w:sz="4" w:space="0" w:color="auto"/>
            </w:tcBorders>
            <w:shd w:val="clear" w:color="auto" w:fill="auto"/>
            <w:noWrap/>
            <w:vAlign w:val="center"/>
            <w:hideMark/>
          </w:tcPr>
          <w:p w14:paraId="45847BC4" w14:textId="5176EB5F" w:rsidR="0041585D" w:rsidRPr="006F5C0E" w:rsidRDefault="0041585D" w:rsidP="0041585D">
            <w:pPr>
              <w:spacing w:after="0" w:line="240" w:lineRule="auto"/>
              <w:jc w:val="center"/>
              <w:rPr>
                <w:rFonts w:ascii="Garamond" w:eastAsia="Times New Roman" w:hAnsi="Garamond" w:cs="Calibri"/>
                <w:color w:val="000000"/>
                <w:sz w:val="18"/>
                <w:szCs w:val="18"/>
              </w:rPr>
            </w:pPr>
            <w:r>
              <w:rPr>
                <w:rFonts w:ascii="Garamond" w:eastAsia="Times New Roman" w:hAnsi="Garamond" w:cs="Calibri"/>
                <w:color w:val="000000"/>
                <w:sz w:val="18"/>
                <w:szCs w:val="18"/>
              </w:rPr>
              <w:t>Feb 14</w:t>
            </w:r>
          </w:p>
        </w:tc>
        <w:tc>
          <w:tcPr>
            <w:tcW w:w="3909" w:type="dxa"/>
            <w:tcBorders>
              <w:top w:val="nil"/>
              <w:left w:val="nil"/>
              <w:bottom w:val="single" w:sz="4" w:space="0" w:color="auto"/>
              <w:right w:val="single" w:sz="4" w:space="0" w:color="auto"/>
            </w:tcBorders>
            <w:shd w:val="clear" w:color="auto" w:fill="auto"/>
            <w:vAlign w:val="center"/>
          </w:tcPr>
          <w:p w14:paraId="068CDB15" w14:textId="5A308921" w:rsidR="0041585D" w:rsidRPr="006F5C0E" w:rsidRDefault="0041585D" w:rsidP="0041585D">
            <w:pPr>
              <w:spacing w:after="0" w:line="240" w:lineRule="auto"/>
              <w:rPr>
                <w:rFonts w:ascii="Garamond" w:eastAsia="Times New Roman" w:hAnsi="Garamond" w:cs="Calibri"/>
                <w:color w:val="000000"/>
                <w:sz w:val="18"/>
                <w:szCs w:val="18"/>
              </w:rPr>
            </w:pPr>
            <w:r w:rsidRPr="0041585D">
              <w:rPr>
                <w:rFonts w:ascii="Garamond" w:eastAsia="Times New Roman" w:hAnsi="Garamond" w:cs="Calibri"/>
                <w:color w:val="000000"/>
                <w:sz w:val="18"/>
                <w:szCs w:val="18"/>
              </w:rPr>
              <w:t>Directed acyclical graphical models (DAGs); collider bias; bad controls</w:t>
            </w:r>
            <w:r>
              <w:rPr>
                <w:rFonts w:ascii="Garamond" w:eastAsia="Times New Roman" w:hAnsi="Garamond" w:cs="Calibri"/>
                <w:color w:val="000000"/>
                <w:sz w:val="18"/>
                <w:szCs w:val="18"/>
              </w:rPr>
              <w:t xml:space="preserve">; </w:t>
            </w:r>
            <w:r w:rsidRPr="0041585D">
              <w:rPr>
                <w:rFonts w:ascii="Garamond" w:eastAsia="Times New Roman" w:hAnsi="Garamond" w:cs="Calibri"/>
                <w:color w:val="000000"/>
                <w:sz w:val="18"/>
                <w:szCs w:val="18"/>
              </w:rPr>
              <w:t xml:space="preserve">Subclassification. Exact matching. Propensity score. Nearest neighbor matching. Coarsened exact matching. </w:t>
            </w:r>
            <w:r w:rsidRPr="0041585D" w:rsidDel="0041585D">
              <w:rPr>
                <w:rFonts w:ascii="Garamond" w:eastAsia="Times New Roman" w:hAnsi="Garamond" w:cs="Calibri"/>
                <w:color w:val="000000"/>
                <w:sz w:val="18"/>
                <w:szCs w:val="18"/>
              </w:rPr>
              <w:t xml:space="preserve"> </w:t>
            </w:r>
            <w:r>
              <w:rPr>
                <w:rFonts w:ascii="Garamond" w:eastAsia="Times New Roman" w:hAnsi="Garamond" w:cs="Calibri"/>
                <w:color w:val="000000"/>
                <w:sz w:val="18"/>
                <w:szCs w:val="18"/>
              </w:rPr>
              <w:t xml:space="preserve"> </w:t>
            </w:r>
          </w:p>
        </w:tc>
        <w:tc>
          <w:tcPr>
            <w:tcW w:w="8549" w:type="dxa"/>
            <w:tcBorders>
              <w:top w:val="single" w:sz="4" w:space="0" w:color="auto"/>
              <w:left w:val="nil"/>
              <w:bottom w:val="single" w:sz="4" w:space="0" w:color="auto"/>
              <w:right w:val="single" w:sz="4" w:space="0" w:color="auto"/>
            </w:tcBorders>
            <w:shd w:val="clear" w:color="auto" w:fill="auto"/>
            <w:vAlign w:val="center"/>
            <w:hideMark/>
          </w:tcPr>
          <w:p w14:paraId="64BD760A" w14:textId="77777777" w:rsidR="0041585D" w:rsidRDefault="0041585D" w:rsidP="0041585D">
            <w:pPr>
              <w:spacing w:after="0" w:line="240" w:lineRule="auto"/>
              <w:rPr>
                <w:rFonts w:ascii="Garamond" w:eastAsia="Times New Roman" w:hAnsi="Garamond" w:cs="Calibri"/>
                <w:b/>
                <w:color w:val="000000"/>
                <w:sz w:val="18"/>
                <w:szCs w:val="18"/>
              </w:rPr>
            </w:pPr>
            <w:r w:rsidRPr="00110B21">
              <w:rPr>
                <w:rFonts w:ascii="Garamond" w:eastAsia="Times New Roman" w:hAnsi="Garamond" w:cs="Calibri"/>
                <w:b/>
                <w:color w:val="000000"/>
                <w:sz w:val="18"/>
                <w:szCs w:val="18"/>
              </w:rPr>
              <w:t xml:space="preserve">Required: </w:t>
            </w:r>
          </w:p>
          <w:p w14:paraId="5432926D" w14:textId="090643CA" w:rsidR="0041585D" w:rsidRPr="0041585D" w:rsidRDefault="0041585D" w:rsidP="0041585D">
            <w:pPr>
              <w:spacing w:after="0" w:line="240" w:lineRule="auto"/>
              <w:rPr>
                <w:rFonts w:ascii="Garamond" w:eastAsia="Times New Roman" w:hAnsi="Garamond" w:cs="Calibri"/>
                <w:bCs/>
                <w:color w:val="000000"/>
                <w:sz w:val="18"/>
                <w:szCs w:val="18"/>
              </w:rPr>
            </w:pPr>
            <w:r w:rsidRPr="0041585D">
              <w:rPr>
                <w:rFonts w:ascii="Garamond" w:eastAsia="Times New Roman" w:hAnsi="Garamond" w:cs="Calibri"/>
                <w:bCs/>
                <w:i/>
                <w:iCs/>
                <w:color w:val="000000"/>
                <w:sz w:val="18"/>
                <w:szCs w:val="18"/>
              </w:rPr>
              <w:t xml:space="preserve">Mixtape, </w:t>
            </w:r>
            <w:r w:rsidRPr="0041585D">
              <w:rPr>
                <w:rFonts w:ascii="Garamond" w:eastAsia="Times New Roman" w:hAnsi="Garamond" w:cs="Calibri"/>
                <w:bCs/>
                <w:color w:val="000000"/>
                <w:sz w:val="18"/>
                <w:szCs w:val="18"/>
              </w:rPr>
              <w:t>Chapter 3</w:t>
            </w:r>
            <w:r>
              <w:rPr>
                <w:rFonts w:ascii="Garamond" w:eastAsia="Times New Roman" w:hAnsi="Garamond" w:cs="Calibri"/>
                <w:bCs/>
                <w:color w:val="000000"/>
                <w:sz w:val="18"/>
                <w:szCs w:val="18"/>
              </w:rPr>
              <w:t>, 5</w:t>
            </w:r>
            <w:r w:rsidRPr="0041585D">
              <w:rPr>
                <w:rFonts w:ascii="Garamond" w:eastAsia="Times New Roman" w:hAnsi="Garamond" w:cs="Calibri"/>
                <w:bCs/>
                <w:color w:val="000000"/>
                <w:sz w:val="18"/>
                <w:szCs w:val="18"/>
              </w:rPr>
              <w:t>; Cinelli, Carlos, Andrew Forney, and Judea Pearl. "A crash course in good and bad controls." </w:t>
            </w:r>
            <w:r w:rsidRPr="0041585D">
              <w:rPr>
                <w:rFonts w:ascii="Garamond" w:eastAsia="Times New Roman" w:hAnsi="Garamond" w:cs="Calibri"/>
                <w:bCs/>
                <w:i/>
                <w:iCs/>
                <w:color w:val="000000"/>
                <w:sz w:val="18"/>
                <w:szCs w:val="18"/>
              </w:rPr>
              <w:t>Available at SSRN 3689437</w:t>
            </w:r>
            <w:r w:rsidRPr="0041585D">
              <w:rPr>
                <w:rFonts w:ascii="Garamond" w:eastAsia="Times New Roman" w:hAnsi="Garamond" w:cs="Calibri"/>
                <w:bCs/>
                <w:color w:val="000000"/>
                <w:sz w:val="18"/>
                <w:szCs w:val="18"/>
              </w:rPr>
              <w:t> (2020).</w:t>
            </w:r>
          </w:p>
          <w:p w14:paraId="16B528BD" w14:textId="77777777" w:rsidR="0041585D" w:rsidRDefault="0041585D" w:rsidP="0041585D">
            <w:pPr>
              <w:spacing w:after="0" w:line="240" w:lineRule="auto"/>
              <w:rPr>
                <w:rFonts w:ascii="Garamond" w:eastAsia="Times New Roman" w:hAnsi="Garamond" w:cs="Calibri"/>
                <w:b/>
                <w:color w:val="000000"/>
                <w:sz w:val="18"/>
                <w:szCs w:val="18"/>
              </w:rPr>
            </w:pPr>
            <w:r>
              <w:rPr>
                <w:rFonts w:ascii="Garamond" w:eastAsia="Times New Roman" w:hAnsi="Garamond" w:cs="Calibri"/>
                <w:b/>
                <w:color w:val="000000"/>
                <w:sz w:val="18"/>
                <w:szCs w:val="18"/>
              </w:rPr>
              <w:t>Supplemental:</w:t>
            </w:r>
          </w:p>
          <w:p w14:paraId="5239FB4F" w14:textId="5C0D2A6F" w:rsidR="0041585D" w:rsidRPr="0041585D" w:rsidRDefault="0041585D" w:rsidP="0041585D">
            <w:pPr>
              <w:spacing w:after="0" w:line="240" w:lineRule="auto"/>
              <w:rPr>
                <w:rFonts w:ascii="Garamond" w:eastAsia="Times New Roman" w:hAnsi="Garamond" w:cs="Calibri"/>
                <w:bCs/>
                <w:color w:val="000000"/>
                <w:sz w:val="18"/>
                <w:szCs w:val="18"/>
              </w:rPr>
            </w:pPr>
            <w:r w:rsidRPr="0041585D">
              <w:rPr>
                <w:rFonts w:ascii="Garamond" w:eastAsia="Times New Roman" w:hAnsi="Garamond" w:cs="Calibri"/>
                <w:bCs/>
                <w:i/>
                <w:iCs/>
                <w:color w:val="000000"/>
                <w:sz w:val="18"/>
                <w:szCs w:val="18"/>
              </w:rPr>
              <w:t>Counterfactuals and Causal Inference, Chapters 3</w:t>
            </w:r>
            <w:r>
              <w:rPr>
                <w:rFonts w:ascii="Garamond" w:eastAsia="Times New Roman" w:hAnsi="Garamond" w:cs="Calibri"/>
                <w:bCs/>
                <w:i/>
                <w:iCs/>
                <w:color w:val="000000"/>
                <w:sz w:val="18"/>
                <w:szCs w:val="18"/>
              </w:rPr>
              <w:t>-5</w:t>
            </w:r>
            <w:r w:rsidRPr="0041585D">
              <w:rPr>
                <w:rFonts w:ascii="Garamond" w:eastAsia="Times New Roman" w:hAnsi="Garamond" w:cs="Calibri"/>
                <w:bCs/>
                <w:i/>
                <w:iCs/>
                <w:color w:val="000000"/>
                <w:sz w:val="18"/>
                <w:szCs w:val="18"/>
              </w:rPr>
              <w:t>; The Effect, Chapters 6-9</w:t>
            </w:r>
            <w:r>
              <w:rPr>
                <w:rFonts w:ascii="Garamond" w:eastAsia="Times New Roman" w:hAnsi="Garamond" w:cs="Calibri"/>
                <w:bCs/>
                <w:i/>
                <w:iCs/>
                <w:color w:val="000000"/>
                <w:sz w:val="18"/>
                <w:szCs w:val="18"/>
              </w:rPr>
              <w:t xml:space="preserve">; </w:t>
            </w:r>
            <w:r w:rsidRPr="0041585D">
              <w:rPr>
                <w:rFonts w:ascii="Garamond" w:eastAsia="Times New Roman" w:hAnsi="Garamond" w:cs="Calibri"/>
                <w:bCs/>
                <w:color w:val="000000"/>
                <w:sz w:val="18"/>
                <w:szCs w:val="18"/>
              </w:rPr>
              <w:t>Stuart, Elizabeth A. "Matching methods for causal inference: A review and a look forward." Statistical science: a review journal of the Institute of Mathematical Statistics 25.1 (2010): 1; Shadish, William R., Margaret H. Clark, and Peter M. Steiner. "Can nonrandomized experiments yield accurate answers? A randomized experiment comparing random and nonrandom assignments." Journal of the American statistical association103.484 (2008): 1334-1344.</w:t>
            </w:r>
          </w:p>
          <w:p w14:paraId="3EE8A1D8" w14:textId="107DEF22" w:rsidR="0041585D" w:rsidRPr="006F5C0E" w:rsidRDefault="0041585D" w:rsidP="0041585D">
            <w:pPr>
              <w:spacing w:after="0" w:line="240" w:lineRule="auto"/>
              <w:rPr>
                <w:rFonts w:ascii="Garamond" w:eastAsia="Times New Roman" w:hAnsi="Garamond" w:cs="Calibri"/>
                <w:color w:val="000000"/>
                <w:sz w:val="18"/>
                <w:szCs w:val="18"/>
              </w:rPr>
            </w:pPr>
          </w:p>
        </w:tc>
      </w:tr>
      <w:tr w:rsidR="0041585D" w:rsidRPr="006F5C0E" w14:paraId="23F3FF48" w14:textId="77777777" w:rsidTr="0041585D">
        <w:trPr>
          <w:trHeight w:val="3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70CFC699" w14:textId="77777777" w:rsidR="0041585D" w:rsidRPr="006F5C0E" w:rsidRDefault="0041585D" w:rsidP="0041585D">
            <w:pPr>
              <w:spacing w:after="0" w:line="240" w:lineRule="auto"/>
              <w:jc w:val="center"/>
              <w:rPr>
                <w:rFonts w:ascii="Garamond" w:eastAsia="Times New Roman" w:hAnsi="Garamond" w:cs="Calibri"/>
                <w:color w:val="000000"/>
                <w:sz w:val="18"/>
                <w:szCs w:val="18"/>
              </w:rPr>
            </w:pPr>
            <w:r w:rsidRPr="006F5C0E">
              <w:rPr>
                <w:rFonts w:ascii="Garamond" w:eastAsia="Times New Roman" w:hAnsi="Garamond" w:cs="Calibri"/>
                <w:color w:val="000000"/>
                <w:sz w:val="18"/>
                <w:szCs w:val="18"/>
              </w:rPr>
              <w:t>3</w:t>
            </w:r>
          </w:p>
        </w:tc>
        <w:tc>
          <w:tcPr>
            <w:tcW w:w="1068" w:type="dxa"/>
            <w:tcBorders>
              <w:top w:val="nil"/>
              <w:left w:val="nil"/>
              <w:bottom w:val="single" w:sz="4" w:space="0" w:color="auto"/>
              <w:right w:val="single" w:sz="4" w:space="0" w:color="auto"/>
            </w:tcBorders>
            <w:shd w:val="clear" w:color="auto" w:fill="auto"/>
            <w:noWrap/>
            <w:vAlign w:val="center"/>
            <w:hideMark/>
          </w:tcPr>
          <w:p w14:paraId="6E02BF9C" w14:textId="4A4BA45F" w:rsidR="0041585D" w:rsidRPr="006F5C0E" w:rsidRDefault="0041585D" w:rsidP="0041585D">
            <w:pPr>
              <w:spacing w:after="0" w:line="240" w:lineRule="auto"/>
              <w:jc w:val="center"/>
              <w:rPr>
                <w:rFonts w:ascii="Garamond" w:eastAsia="Times New Roman" w:hAnsi="Garamond" w:cs="Calibri"/>
                <w:color w:val="000000"/>
                <w:sz w:val="18"/>
                <w:szCs w:val="18"/>
              </w:rPr>
            </w:pPr>
            <w:r>
              <w:rPr>
                <w:rFonts w:ascii="Garamond" w:eastAsia="Times New Roman" w:hAnsi="Garamond" w:cs="Calibri"/>
                <w:color w:val="000000"/>
                <w:sz w:val="18"/>
                <w:szCs w:val="18"/>
              </w:rPr>
              <w:t>Feb 21</w:t>
            </w:r>
          </w:p>
        </w:tc>
        <w:tc>
          <w:tcPr>
            <w:tcW w:w="3909" w:type="dxa"/>
            <w:tcBorders>
              <w:top w:val="nil"/>
              <w:left w:val="nil"/>
              <w:bottom w:val="single" w:sz="4" w:space="0" w:color="auto"/>
              <w:right w:val="single" w:sz="4" w:space="0" w:color="auto"/>
            </w:tcBorders>
            <w:shd w:val="clear" w:color="auto" w:fill="FFF2CC" w:themeFill="accent4" w:themeFillTint="33"/>
            <w:vAlign w:val="center"/>
            <w:hideMark/>
          </w:tcPr>
          <w:p w14:paraId="7A7DB064" w14:textId="4E27FDD8" w:rsidR="0041585D" w:rsidRPr="006F5C0E" w:rsidRDefault="00C22B54" w:rsidP="0041585D">
            <w:pPr>
              <w:spacing w:after="0" w:line="240" w:lineRule="auto"/>
              <w:rPr>
                <w:rFonts w:ascii="Garamond" w:eastAsia="Times New Roman" w:hAnsi="Garamond" w:cs="Calibri"/>
                <w:color w:val="000000"/>
                <w:sz w:val="18"/>
                <w:szCs w:val="18"/>
              </w:rPr>
            </w:pPr>
            <w:r>
              <w:rPr>
                <w:rFonts w:ascii="Garamond" w:eastAsia="Times New Roman" w:hAnsi="Garamond" w:cs="Calibri"/>
                <w:color w:val="000000"/>
                <w:sz w:val="18"/>
                <w:szCs w:val="18"/>
              </w:rPr>
              <w:t>Distribute PS 1:</w:t>
            </w:r>
            <w:r w:rsidR="0041585D" w:rsidRPr="0041585D">
              <w:rPr>
                <w:rFonts w:ascii="Garamond" w:eastAsia="Times New Roman" w:hAnsi="Garamond" w:cs="Calibri"/>
                <w:color w:val="000000"/>
                <w:sz w:val="18"/>
                <w:szCs w:val="18"/>
              </w:rPr>
              <w:t xml:space="preserve"> Regression discontinuity design (RDD).</w:t>
            </w:r>
          </w:p>
        </w:tc>
        <w:tc>
          <w:tcPr>
            <w:tcW w:w="8549" w:type="dxa"/>
            <w:tcBorders>
              <w:top w:val="nil"/>
              <w:left w:val="nil"/>
              <w:bottom w:val="single" w:sz="4" w:space="0" w:color="auto"/>
              <w:right w:val="single" w:sz="4" w:space="0" w:color="auto"/>
            </w:tcBorders>
            <w:shd w:val="clear" w:color="auto" w:fill="FFF2CC" w:themeFill="accent4" w:themeFillTint="33"/>
            <w:vAlign w:val="center"/>
            <w:hideMark/>
          </w:tcPr>
          <w:p w14:paraId="68F26A4C" w14:textId="77777777" w:rsidR="0041585D" w:rsidRPr="00E82AD3" w:rsidRDefault="0041585D" w:rsidP="0041585D">
            <w:pPr>
              <w:spacing w:after="0" w:line="240" w:lineRule="auto"/>
              <w:rPr>
                <w:rFonts w:ascii="Garamond" w:eastAsia="Times New Roman" w:hAnsi="Garamond" w:cs="Calibri"/>
                <w:b/>
                <w:iCs/>
                <w:color w:val="000000"/>
                <w:sz w:val="18"/>
                <w:szCs w:val="18"/>
              </w:rPr>
            </w:pPr>
            <w:r w:rsidRPr="00E82AD3">
              <w:rPr>
                <w:rFonts w:ascii="Garamond" w:eastAsia="Times New Roman" w:hAnsi="Garamond" w:cs="Calibri"/>
                <w:b/>
                <w:iCs/>
                <w:color w:val="000000"/>
                <w:sz w:val="18"/>
                <w:szCs w:val="18"/>
              </w:rPr>
              <w:t>Required:</w:t>
            </w:r>
          </w:p>
          <w:p w14:paraId="36E4C61E" w14:textId="77777777" w:rsidR="0041585D" w:rsidRDefault="0041585D" w:rsidP="0041585D">
            <w:pPr>
              <w:spacing w:after="0" w:line="240" w:lineRule="auto"/>
              <w:rPr>
                <w:rFonts w:ascii="Garamond" w:eastAsia="Times New Roman" w:hAnsi="Garamond" w:cs="Calibri"/>
                <w:color w:val="000000"/>
                <w:sz w:val="18"/>
                <w:szCs w:val="18"/>
              </w:rPr>
            </w:pPr>
            <w:r w:rsidRPr="006F5C0E">
              <w:rPr>
                <w:rFonts w:ascii="Garamond" w:eastAsia="Times New Roman" w:hAnsi="Garamond" w:cs="Calibri"/>
                <w:i/>
                <w:iCs/>
                <w:color w:val="000000"/>
                <w:sz w:val="18"/>
                <w:szCs w:val="18"/>
              </w:rPr>
              <w:t xml:space="preserve">Mixtape, </w:t>
            </w:r>
            <w:r>
              <w:rPr>
                <w:rFonts w:ascii="Garamond" w:eastAsia="Times New Roman" w:hAnsi="Garamond" w:cs="Calibri"/>
                <w:color w:val="000000"/>
                <w:sz w:val="18"/>
                <w:szCs w:val="18"/>
              </w:rPr>
              <w:t>Chapter 6</w:t>
            </w:r>
          </w:p>
          <w:p w14:paraId="019144F1" w14:textId="77777777" w:rsidR="0041585D" w:rsidRDefault="0041585D" w:rsidP="0041585D">
            <w:pPr>
              <w:spacing w:after="0" w:line="240" w:lineRule="auto"/>
              <w:rPr>
                <w:rFonts w:ascii="Garamond" w:eastAsia="Times New Roman" w:hAnsi="Garamond" w:cs="Calibri"/>
                <w:b/>
                <w:color w:val="000000"/>
                <w:sz w:val="18"/>
                <w:szCs w:val="18"/>
              </w:rPr>
            </w:pPr>
            <w:r>
              <w:rPr>
                <w:rFonts w:ascii="Garamond" w:eastAsia="Times New Roman" w:hAnsi="Garamond" w:cs="Calibri"/>
                <w:b/>
                <w:color w:val="000000"/>
                <w:sz w:val="18"/>
                <w:szCs w:val="18"/>
              </w:rPr>
              <w:t>Supplemental:</w:t>
            </w:r>
          </w:p>
          <w:p w14:paraId="5D0856BA" w14:textId="6FC4E28B" w:rsidR="0041585D" w:rsidRPr="00F15648" w:rsidRDefault="0041585D" w:rsidP="0041585D">
            <w:pPr>
              <w:spacing w:after="0" w:line="240" w:lineRule="auto"/>
              <w:rPr>
                <w:rFonts w:ascii="Garamond" w:eastAsia="Times New Roman" w:hAnsi="Garamond" w:cs="Calibri"/>
                <w:color w:val="000000"/>
                <w:sz w:val="18"/>
                <w:szCs w:val="18"/>
              </w:rPr>
            </w:pPr>
            <w:r w:rsidRPr="006F5C0E">
              <w:rPr>
                <w:rFonts w:ascii="Garamond" w:eastAsia="Times New Roman" w:hAnsi="Garamond" w:cs="Calibri"/>
                <w:i/>
                <w:iCs/>
                <w:color w:val="000000"/>
                <w:sz w:val="18"/>
                <w:szCs w:val="18"/>
              </w:rPr>
              <w:t>Mastering Metrics</w:t>
            </w:r>
            <w:r w:rsidRPr="006F5C0E">
              <w:rPr>
                <w:rFonts w:ascii="Garamond" w:eastAsia="Times New Roman" w:hAnsi="Garamond" w:cs="Calibri"/>
                <w:color w:val="000000"/>
                <w:sz w:val="18"/>
                <w:szCs w:val="18"/>
              </w:rPr>
              <w:t>, Chapter 4; Moscoe, Ellen, Jacob Bor, and Till Bärnighausen. "Regression discontinuity designs are underutilized in medicine, epidemiology, and public health: a review of current and best practice." Journal of clinical epidemiology 68.2 (2015): 132-143.</w:t>
            </w:r>
          </w:p>
        </w:tc>
      </w:tr>
      <w:tr w:rsidR="0041585D" w:rsidRPr="006F5C0E" w14:paraId="1FA195A0" w14:textId="77777777" w:rsidTr="009E087C">
        <w:trPr>
          <w:trHeight w:val="863"/>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6295323D" w14:textId="77777777" w:rsidR="0041585D" w:rsidRPr="006F5C0E" w:rsidRDefault="0041585D" w:rsidP="0041585D">
            <w:pPr>
              <w:spacing w:after="0" w:line="240" w:lineRule="auto"/>
              <w:jc w:val="center"/>
              <w:rPr>
                <w:rFonts w:ascii="Garamond" w:eastAsia="Times New Roman" w:hAnsi="Garamond" w:cs="Calibri"/>
                <w:color w:val="000000"/>
                <w:sz w:val="18"/>
                <w:szCs w:val="18"/>
              </w:rPr>
            </w:pPr>
            <w:r w:rsidRPr="006F5C0E">
              <w:rPr>
                <w:rFonts w:ascii="Garamond" w:eastAsia="Times New Roman" w:hAnsi="Garamond" w:cs="Calibri"/>
                <w:color w:val="000000"/>
                <w:sz w:val="18"/>
                <w:szCs w:val="18"/>
              </w:rPr>
              <w:t>4</w:t>
            </w:r>
          </w:p>
        </w:tc>
        <w:tc>
          <w:tcPr>
            <w:tcW w:w="1068" w:type="dxa"/>
            <w:tcBorders>
              <w:top w:val="nil"/>
              <w:left w:val="nil"/>
              <w:bottom w:val="single" w:sz="4" w:space="0" w:color="auto"/>
              <w:right w:val="single" w:sz="4" w:space="0" w:color="auto"/>
            </w:tcBorders>
            <w:shd w:val="clear" w:color="auto" w:fill="auto"/>
            <w:noWrap/>
            <w:vAlign w:val="center"/>
            <w:hideMark/>
          </w:tcPr>
          <w:p w14:paraId="10B53A23" w14:textId="6F33F1B1" w:rsidR="0041585D" w:rsidRPr="006F5C0E" w:rsidRDefault="0041585D" w:rsidP="0041585D">
            <w:pPr>
              <w:spacing w:after="0" w:line="240" w:lineRule="auto"/>
              <w:jc w:val="center"/>
              <w:rPr>
                <w:rFonts w:ascii="Garamond" w:eastAsia="Times New Roman" w:hAnsi="Garamond" w:cs="Calibri"/>
                <w:color w:val="000000"/>
                <w:sz w:val="18"/>
                <w:szCs w:val="18"/>
              </w:rPr>
            </w:pPr>
            <w:r>
              <w:rPr>
                <w:rFonts w:ascii="Garamond" w:eastAsia="Times New Roman" w:hAnsi="Garamond" w:cs="Calibri"/>
                <w:color w:val="000000"/>
                <w:sz w:val="18"/>
                <w:szCs w:val="18"/>
              </w:rPr>
              <w:t>February 28</w:t>
            </w:r>
          </w:p>
        </w:tc>
        <w:tc>
          <w:tcPr>
            <w:tcW w:w="3909" w:type="dxa"/>
            <w:tcBorders>
              <w:top w:val="nil"/>
              <w:left w:val="nil"/>
              <w:bottom w:val="single" w:sz="4" w:space="0" w:color="auto"/>
              <w:right w:val="single" w:sz="4" w:space="0" w:color="auto"/>
            </w:tcBorders>
            <w:shd w:val="clear" w:color="auto" w:fill="auto"/>
            <w:vAlign w:val="center"/>
            <w:hideMark/>
          </w:tcPr>
          <w:p w14:paraId="1383FA61" w14:textId="36CC159A" w:rsidR="0041585D" w:rsidRPr="006F5C0E" w:rsidRDefault="0041585D" w:rsidP="0041585D">
            <w:pPr>
              <w:spacing w:after="0" w:line="240" w:lineRule="auto"/>
              <w:rPr>
                <w:rFonts w:ascii="Garamond" w:eastAsia="Times New Roman" w:hAnsi="Garamond" w:cs="Calibri"/>
                <w:color w:val="000000"/>
                <w:sz w:val="18"/>
                <w:szCs w:val="18"/>
              </w:rPr>
            </w:pPr>
            <w:r w:rsidRPr="0041585D">
              <w:rPr>
                <w:rFonts w:ascii="Garamond" w:eastAsia="Times New Roman" w:hAnsi="Garamond" w:cs="Calibri"/>
                <w:color w:val="000000"/>
                <w:sz w:val="18"/>
                <w:szCs w:val="18"/>
              </w:rPr>
              <w:t>Finish RDD. Natural experiments. Instrumental Variables (IV).</w:t>
            </w:r>
          </w:p>
        </w:tc>
        <w:tc>
          <w:tcPr>
            <w:tcW w:w="8549" w:type="dxa"/>
            <w:tcBorders>
              <w:top w:val="nil"/>
              <w:left w:val="nil"/>
              <w:bottom w:val="single" w:sz="4" w:space="0" w:color="auto"/>
              <w:right w:val="single" w:sz="4" w:space="0" w:color="auto"/>
            </w:tcBorders>
            <w:shd w:val="clear" w:color="auto" w:fill="auto"/>
            <w:vAlign w:val="center"/>
            <w:hideMark/>
          </w:tcPr>
          <w:p w14:paraId="5D7F2908" w14:textId="77777777" w:rsidR="0041585D" w:rsidRDefault="0041585D" w:rsidP="0041585D">
            <w:pPr>
              <w:spacing w:after="0" w:line="240" w:lineRule="auto"/>
              <w:rPr>
                <w:rFonts w:ascii="Garamond" w:eastAsia="Times New Roman" w:hAnsi="Garamond" w:cs="Calibri"/>
                <w:i/>
                <w:iCs/>
                <w:color w:val="000000"/>
                <w:sz w:val="18"/>
                <w:szCs w:val="18"/>
              </w:rPr>
            </w:pPr>
            <w:r w:rsidRPr="00054AB7">
              <w:rPr>
                <w:rFonts w:ascii="Garamond" w:eastAsia="Times New Roman" w:hAnsi="Garamond" w:cs="Calibri"/>
                <w:b/>
                <w:iCs/>
                <w:color w:val="000000"/>
                <w:sz w:val="18"/>
                <w:szCs w:val="18"/>
              </w:rPr>
              <w:t>Required:</w:t>
            </w:r>
          </w:p>
          <w:p w14:paraId="725604C6" w14:textId="77777777" w:rsidR="0041585D" w:rsidRDefault="0041585D" w:rsidP="0041585D">
            <w:pPr>
              <w:spacing w:after="0" w:line="240" w:lineRule="auto"/>
              <w:rPr>
                <w:rFonts w:ascii="Garamond" w:eastAsia="Times New Roman" w:hAnsi="Garamond" w:cs="Calibri"/>
                <w:color w:val="000000"/>
                <w:sz w:val="18"/>
                <w:szCs w:val="18"/>
              </w:rPr>
            </w:pPr>
            <w:r w:rsidRPr="006F5C0E">
              <w:rPr>
                <w:rFonts w:ascii="Garamond" w:eastAsia="Times New Roman" w:hAnsi="Garamond" w:cs="Calibri"/>
                <w:i/>
                <w:iCs/>
                <w:color w:val="000000"/>
                <w:sz w:val="18"/>
                <w:szCs w:val="18"/>
              </w:rPr>
              <w:t xml:space="preserve">Mixtape, </w:t>
            </w:r>
            <w:r>
              <w:rPr>
                <w:rFonts w:ascii="Garamond" w:eastAsia="Times New Roman" w:hAnsi="Garamond" w:cs="Calibri"/>
                <w:color w:val="000000"/>
                <w:sz w:val="18"/>
                <w:szCs w:val="18"/>
              </w:rPr>
              <w:t>Chapter 7</w:t>
            </w:r>
          </w:p>
          <w:p w14:paraId="69021D35" w14:textId="77777777" w:rsidR="0041585D" w:rsidRDefault="0041585D" w:rsidP="0041585D">
            <w:pPr>
              <w:spacing w:after="0" w:line="240" w:lineRule="auto"/>
              <w:rPr>
                <w:rFonts w:ascii="Garamond" w:eastAsia="Times New Roman" w:hAnsi="Garamond" w:cs="Calibri"/>
                <w:color w:val="000000"/>
                <w:sz w:val="18"/>
                <w:szCs w:val="18"/>
              </w:rPr>
            </w:pPr>
            <w:r w:rsidRPr="00054AB7">
              <w:rPr>
                <w:rFonts w:ascii="Garamond" w:eastAsia="Times New Roman" w:hAnsi="Garamond" w:cs="Calibri"/>
                <w:b/>
                <w:color w:val="000000"/>
                <w:sz w:val="18"/>
                <w:szCs w:val="18"/>
              </w:rPr>
              <w:t>Supplemental:</w:t>
            </w:r>
          </w:p>
          <w:p w14:paraId="7F1D3C5C" w14:textId="1013E67D" w:rsidR="0041585D" w:rsidRPr="006F5C0E" w:rsidRDefault="0041585D" w:rsidP="0041585D">
            <w:pPr>
              <w:spacing w:after="0" w:line="240" w:lineRule="auto"/>
              <w:rPr>
                <w:rFonts w:ascii="Garamond" w:eastAsia="Times New Roman" w:hAnsi="Garamond" w:cs="Calibri"/>
                <w:color w:val="000000"/>
                <w:sz w:val="18"/>
                <w:szCs w:val="18"/>
              </w:rPr>
            </w:pPr>
            <w:r w:rsidRPr="006F5C0E">
              <w:rPr>
                <w:rFonts w:ascii="Garamond" w:eastAsia="Times New Roman" w:hAnsi="Garamond" w:cs="Calibri"/>
                <w:i/>
                <w:iCs/>
                <w:color w:val="000000"/>
                <w:sz w:val="18"/>
                <w:szCs w:val="18"/>
              </w:rPr>
              <w:t>Mastering Metrics</w:t>
            </w:r>
            <w:r w:rsidRPr="006F5C0E">
              <w:rPr>
                <w:rFonts w:ascii="Garamond" w:eastAsia="Times New Roman" w:hAnsi="Garamond" w:cs="Calibri"/>
                <w:color w:val="000000"/>
                <w:sz w:val="18"/>
                <w:szCs w:val="18"/>
              </w:rPr>
              <w:t xml:space="preserve">, Chapter 3; </w:t>
            </w:r>
            <w:r w:rsidRPr="006F5C0E">
              <w:rPr>
                <w:rFonts w:ascii="Garamond" w:eastAsia="Times New Roman" w:hAnsi="Garamond" w:cs="Calibri"/>
                <w:i/>
                <w:iCs/>
                <w:color w:val="000000"/>
                <w:sz w:val="18"/>
                <w:szCs w:val="18"/>
              </w:rPr>
              <w:t xml:space="preserve">Counterfactuals and Causal Inference, </w:t>
            </w:r>
            <w:r w:rsidRPr="006F5C0E">
              <w:rPr>
                <w:rFonts w:ascii="Garamond" w:eastAsia="Times New Roman" w:hAnsi="Garamond" w:cs="Calibri"/>
                <w:color w:val="000000"/>
                <w:sz w:val="18"/>
                <w:szCs w:val="18"/>
              </w:rPr>
              <w:t>Chapter 9</w:t>
            </w:r>
          </w:p>
        </w:tc>
      </w:tr>
      <w:tr w:rsidR="0041585D" w:rsidRPr="006F5C0E" w14:paraId="46DEF4DD" w14:textId="77777777" w:rsidTr="0041585D">
        <w:trPr>
          <w:trHeight w:val="72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14F5ECE0" w14:textId="77777777" w:rsidR="0041585D" w:rsidRPr="006F5C0E" w:rsidRDefault="0041585D" w:rsidP="0041585D">
            <w:pPr>
              <w:spacing w:after="0" w:line="240" w:lineRule="auto"/>
              <w:jc w:val="center"/>
              <w:rPr>
                <w:rFonts w:ascii="Garamond" w:eastAsia="Times New Roman" w:hAnsi="Garamond" w:cs="Calibri"/>
                <w:color w:val="000000"/>
                <w:sz w:val="18"/>
                <w:szCs w:val="18"/>
              </w:rPr>
            </w:pPr>
            <w:r w:rsidRPr="006F5C0E">
              <w:rPr>
                <w:rFonts w:ascii="Garamond" w:eastAsia="Times New Roman" w:hAnsi="Garamond" w:cs="Calibri"/>
                <w:color w:val="000000"/>
                <w:sz w:val="18"/>
                <w:szCs w:val="18"/>
              </w:rPr>
              <w:t>5</w:t>
            </w:r>
          </w:p>
        </w:tc>
        <w:tc>
          <w:tcPr>
            <w:tcW w:w="1068" w:type="dxa"/>
            <w:tcBorders>
              <w:top w:val="nil"/>
              <w:left w:val="nil"/>
              <w:bottom w:val="single" w:sz="4" w:space="0" w:color="auto"/>
              <w:right w:val="single" w:sz="4" w:space="0" w:color="auto"/>
            </w:tcBorders>
            <w:shd w:val="clear" w:color="auto" w:fill="auto"/>
            <w:noWrap/>
            <w:vAlign w:val="center"/>
            <w:hideMark/>
          </w:tcPr>
          <w:p w14:paraId="398D075F" w14:textId="3048C3D3" w:rsidR="0041585D" w:rsidRPr="006F5C0E" w:rsidRDefault="0041585D" w:rsidP="0041585D">
            <w:pPr>
              <w:spacing w:after="0" w:line="240" w:lineRule="auto"/>
              <w:jc w:val="center"/>
              <w:rPr>
                <w:rFonts w:ascii="Garamond" w:eastAsia="Times New Roman" w:hAnsi="Garamond" w:cs="Calibri"/>
                <w:color w:val="000000"/>
                <w:sz w:val="18"/>
                <w:szCs w:val="18"/>
              </w:rPr>
            </w:pPr>
            <w:r>
              <w:rPr>
                <w:rFonts w:ascii="Garamond" w:eastAsia="Times New Roman" w:hAnsi="Garamond" w:cs="Calibri"/>
                <w:color w:val="000000"/>
                <w:sz w:val="18"/>
                <w:szCs w:val="18"/>
              </w:rPr>
              <w:t>March 6</w:t>
            </w:r>
          </w:p>
        </w:tc>
        <w:tc>
          <w:tcPr>
            <w:tcW w:w="3909" w:type="dxa"/>
            <w:tcBorders>
              <w:top w:val="nil"/>
              <w:left w:val="nil"/>
              <w:bottom w:val="single" w:sz="4" w:space="0" w:color="auto"/>
              <w:right w:val="single" w:sz="4" w:space="0" w:color="auto"/>
            </w:tcBorders>
            <w:shd w:val="clear" w:color="auto" w:fill="E7E6E6" w:themeFill="background2"/>
            <w:vAlign w:val="center"/>
            <w:hideMark/>
          </w:tcPr>
          <w:p w14:paraId="74E091AA" w14:textId="67E7E86E" w:rsidR="0041585D" w:rsidRDefault="00C22B54" w:rsidP="0041585D">
            <w:pPr>
              <w:spacing w:after="0" w:line="240" w:lineRule="auto"/>
              <w:rPr>
                <w:rFonts w:ascii="Garamond" w:eastAsia="Times New Roman" w:hAnsi="Garamond" w:cs="Calibri"/>
                <w:color w:val="000000"/>
                <w:sz w:val="18"/>
                <w:szCs w:val="18"/>
              </w:rPr>
            </w:pPr>
            <w:r>
              <w:rPr>
                <w:rFonts w:ascii="Garamond" w:eastAsia="Times New Roman" w:hAnsi="Garamond" w:cs="Calibri"/>
                <w:color w:val="000000"/>
                <w:sz w:val="18"/>
                <w:szCs w:val="18"/>
              </w:rPr>
              <w:t>Present PS</w:t>
            </w:r>
            <w:r w:rsidR="0041585D" w:rsidRPr="006F5C0E">
              <w:rPr>
                <w:rFonts w:ascii="Garamond" w:eastAsia="Times New Roman" w:hAnsi="Garamond" w:cs="Calibri"/>
                <w:color w:val="000000"/>
                <w:sz w:val="18"/>
                <w:szCs w:val="18"/>
              </w:rPr>
              <w:t xml:space="preserve"> 1: </w:t>
            </w:r>
            <w:r w:rsidR="0041585D">
              <w:rPr>
                <w:rFonts w:ascii="Garamond" w:eastAsia="Times New Roman" w:hAnsi="Garamond" w:cs="Calibri"/>
                <w:color w:val="000000"/>
                <w:sz w:val="18"/>
                <w:szCs w:val="18"/>
              </w:rPr>
              <w:t xml:space="preserve">Matching and </w:t>
            </w:r>
            <w:r w:rsidR="0041585D" w:rsidRPr="006F5C0E">
              <w:rPr>
                <w:rFonts w:ascii="Garamond" w:eastAsia="Times New Roman" w:hAnsi="Garamond" w:cs="Calibri"/>
                <w:color w:val="000000"/>
                <w:sz w:val="18"/>
                <w:szCs w:val="18"/>
              </w:rPr>
              <w:t xml:space="preserve">RDD Presentations </w:t>
            </w:r>
          </w:p>
          <w:p w14:paraId="7260919D" w14:textId="728D46DF" w:rsidR="0041585D" w:rsidRPr="006F5C0E" w:rsidRDefault="0041585D" w:rsidP="0041585D">
            <w:pPr>
              <w:spacing w:after="0" w:line="240" w:lineRule="auto"/>
              <w:rPr>
                <w:rFonts w:ascii="Garamond" w:eastAsia="Times New Roman" w:hAnsi="Garamond" w:cs="Calibri"/>
                <w:color w:val="000000"/>
                <w:sz w:val="18"/>
                <w:szCs w:val="18"/>
              </w:rPr>
            </w:pPr>
            <w:r>
              <w:rPr>
                <w:rFonts w:ascii="Garamond" w:eastAsia="Times New Roman" w:hAnsi="Garamond" w:cs="Calibri"/>
                <w:color w:val="000000"/>
                <w:sz w:val="18"/>
                <w:szCs w:val="18"/>
              </w:rPr>
              <w:t>(“presentation session”</w:t>
            </w:r>
            <w:r w:rsidRPr="006F5C0E">
              <w:rPr>
                <w:rFonts w:ascii="Garamond" w:eastAsia="Times New Roman" w:hAnsi="Garamond" w:cs="Calibri"/>
                <w:color w:val="000000"/>
                <w:sz w:val="18"/>
                <w:szCs w:val="18"/>
              </w:rPr>
              <w:t>)</w:t>
            </w:r>
          </w:p>
        </w:tc>
        <w:tc>
          <w:tcPr>
            <w:tcW w:w="8549" w:type="dxa"/>
            <w:tcBorders>
              <w:top w:val="nil"/>
              <w:left w:val="nil"/>
              <w:bottom w:val="single" w:sz="4" w:space="0" w:color="auto"/>
              <w:right w:val="single" w:sz="4" w:space="0" w:color="auto"/>
            </w:tcBorders>
            <w:shd w:val="clear" w:color="auto" w:fill="E7E6E6" w:themeFill="background2"/>
            <w:vAlign w:val="center"/>
          </w:tcPr>
          <w:p w14:paraId="3A75738E" w14:textId="7B89B1CE" w:rsidR="0041585D" w:rsidRPr="006F5C0E" w:rsidRDefault="0041585D" w:rsidP="0041585D">
            <w:pPr>
              <w:spacing w:after="0" w:line="240" w:lineRule="auto"/>
              <w:rPr>
                <w:rFonts w:ascii="Garamond" w:eastAsia="Times New Roman" w:hAnsi="Garamond" w:cs="Calibri"/>
                <w:color w:val="000000"/>
                <w:sz w:val="18"/>
                <w:szCs w:val="18"/>
              </w:rPr>
            </w:pPr>
            <w:r w:rsidRPr="006F5C0E">
              <w:rPr>
                <w:rFonts w:ascii="Garamond" w:eastAsia="Times New Roman" w:hAnsi="Garamond" w:cs="Calibri"/>
                <w:color w:val="000000"/>
                <w:sz w:val="18"/>
                <w:szCs w:val="18"/>
              </w:rPr>
              <w:t> </w:t>
            </w:r>
          </w:p>
        </w:tc>
      </w:tr>
      <w:tr w:rsidR="0041585D" w:rsidRPr="006F5C0E" w14:paraId="18259837" w14:textId="77777777" w:rsidTr="0041585D">
        <w:trPr>
          <w:trHeight w:val="48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726499CC" w14:textId="77777777" w:rsidR="0041585D" w:rsidRPr="006F5C0E" w:rsidRDefault="0041585D" w:rsidP="0041585D">
            <w:pPr>
              <w:spacing w:after="0" w:line="240" w:lineRule="auto"/>
              <w:jc w:val="center"/>
              <w:rPr>
                <w:rFonts w:ascii="Garamond" w:eastAsia="Times New Roman" w:hAnsi="Garamond" w:cs="Calibri"/>
                <w:color w:val="000000"/>
                <w:sz w:val="18"/>
                <w:szCs w:val="18"/>
              </w:rPr>
            </w:pPr>
            <w:r w:rsidRPr="006F5C0E">
              <w:rPr>
                <w:rFonts w:ascii="Garamond" w:eastAsia="Times New Roman" w:hAnsi="Garamond" w:cs="Calibri"/>
                <w:color w:val="000000"/>
                <w:sz w:val="18"/>
                <w:szCs w:val="18"/>
              </w:rPr>
              <w:t>6</w:t>
            </w:r>
          </w:p>
        </w:tc>
        <w:tc>
          <w:tcPr>
            <w:tcW w:w="1068" w:type="dxa"/>
            <w:tcBorders>
              <w:top w:val="nil"/>
              <w:left w:val="nil"/>
              <w:bottom w:val="single" w:sz="4" w:space="0" w:color="auto"/>
              <w:right w:val="single" w:sz="4" w:space="0" w:color="auto"/>
            </w:tcBorders>
            <w:shd w:val="clear" w:color="auto" w:fill="auto"/>
            <w:noWrap/>
            <w:vAlign w:val="center"/>
            <w:hideMark/>
          </w:tcPr>
          <w:p w14:paraId="186D2D4F" w14:textId="6C772704" w:rsidR="0041585D" w:rsidRPr="006F5C0E" w:rsidRDefault="0041585D" w:rsidP="0041585D">
            <w:pPr>
              <w:spacing w:after="0" w:line="240" w:lineRule="auto"/>
              <w:jc w:val="center"/>
              <w:rPr>
                <w:rFonts w:ascii="Garamond" w:eastAsia="Times New Roman" w:hAnsi="Garamond" w:cs="Calibri"/>
                <w:color w:val="000000"/>
                <w:sz w:val="18"/>
                <w:szCs w:val="18"/>
              </w:rPr>
            </w:pPr>
            <w:r>
              <w:rPr>
                <w:rFonts w:ascii="Garamond" w:eastAsia="Times New Roman" w:hAnsi="Garamond" w:cs="Calibri"/>
                <w:color w:val="000000"/>
                <w:sz w:val="18"/>
                <w:szCs w:val="18"/>
              </w:rPr>
              <w:t>March 13</w:t>
            </w:r>
          </w:p>
        </w:tc>
        <w:tc>
          <w:tcPr>
            <w:tcW w:w="3909" w:type="dxa"/>
            <w:tcBorders>
              <w:top w:val="nil"/>
              <w:left w:val="nil"/>
              <w:bottom w:val="single" w:sz="4" w:space="0" w:color="auto"/>
              <w:right w:val="single" w:sz="4" w:space="0" w:color="auto"/>
            </w:tcBorders>
            <w:shd w:val="clear" w:color="auto" w:fill="FFF2CC" w:themeFill="accent4" w:themeFillTint="33"/>
            <w:vAlign w:val="center"/>
            <w:hideMark/>
          </w:tcPr>
          <w:p w14:paraId="2F6FEF77" w14:textId="72396E88" w:rsidR="0041585D" w:rsidRPr="006F5C0E" w:rsidRDefault="00C22B54" w:rsidP="0041585D">
            <w:pPr>
              <w:spacing w:after="0" w:line="240" w:lineRule="auto"/>
              <w:rPr>
                <w:rFonts w:ascii="Garamond" w:eastAsia="Times New Roman" w:hAnsi="Garamond" w:cs="Calibri"/>
                <w:color w:val="000000"/>
                <w:sz w:val="18"/>
                <w:szCs w:val="18"/>
              </w:rPr>
            </w:pPr>
            <w:r>
              <w:rPr>
                <w:rFonts w:ascii="Garamond" w:eastAsia="Times New Roman" w:hAnsi="Garamond" w:cs="Calibri"/>
                <w:color w:val="000000"/>
                <w:sz w:val="18"/>
                <w:szCs w:val="18"/>
              </w:rPr>
              <w:t xml:space="preserve">Distribute PS2: </w:t>
            </w:r>
            <w:r w:rsidR="0041585D" w:rsidRPr="006F5C0E">
              <w:rPr>
                <w:rFonts w:ascii="Garamond" w:eastAsia="Times New Roman" w:hAnsi="Garamond" w:cs="Calibri"/>
                <w:color w:val="000000"/>
                <w:sz w:val="18"/>
                <w:szCs w:val="18"/>
              </w:rPr>
              <w:t>Instrumental Variables.</w:t>
            </w:r>
          </w:p>
        </w:tc>
        <w:tc>
          <w:tcPr>
            <w:tcW w:w="8549" w:type="dxa"/>
            <w:tcBorders>
              <w:top w:val="nil"/>
              <w:left w:val="nil"/>
              <w:bottom w:val="single" w:sz="4" w:space="0" w:color="auto"/>
              <w:right w:val="single" w:sz="4" w:space="0" w:color="auto"/>
            </w:tcBorders>
            <w:shd w:val="clear" w:color="auto" w:fill="FFF2CC" w:themeFill="accent4" w:themeFillTint="33"/>
            <w:vAlign w:val="center"/>
          </w:tcPr>
          <w:p w14:paraId="29DE18E1" w14:textId="77777777" w:rsidR="0041585D" w:rsidRDefault="0041585D" w:rsidP="0041585D">
            <w:pPr>
              <w:spacing w:after="0" w:line="240" w:lineRule="auto"/>
              <w:rPr>
                <w:rFonts w:ascii="Garamond" w:eastAsia="Times New Roman" w:hAnsi="Garamond" w:cs="Calibri"/>
                <w:i/>
                <w:iCs/>
                <w:color w:val="000000"/>
                <w:sz w:val="18"/>
                <w:szCs w:val="18"/>
              </w:rPr>
            </w:pPr>
            <w:r w:rsidRPr="00054AB7">
              <w:rPr>
                <w:rFonts w:ascii="Garamond" w:eastAsia="Times New Roman" w:hAnsi="Garamond" w:cs="Calibri"/>
                <w:b/>
                <w:iCs/>
                <w:color w:val="000000"/>
                <w:sz w:val="18"/>
                <w:szCs w:val="18"/>
              </w:rPr>
              <w:t>Required:</w:t>
            </w:r>
          </w:p>
          <w:p w14:paraId="486D3A24" w14:textId="77777777" w:rsidR="0041585D" w:rsidRDefault="0041585D" w:rsidP="0041585D">
            <w:pPr>
              <w:spacing w:after="0" w:line="240" w:lineRule="auto"/>
              <w:rPr>
                <w:rFonts w:ascii="Garamond" w:eastAsia="Times New Roman" w:hAnsi="Garamond" w:cs="Calibri"/>
                <w:color w:val="000000"/>
                <w:sz w:val="18"/>
                <w:szCs w:val="18"/>
              </w:rPr>
            </w:pPr>
            <w:r w:rsidRPr="006F5C0E">
              <w:rPr>
                <w:rFonts w:ascii="Garamond" w:eastAsia="Times New Roman" w:hAnsi="Garamond" w:cs="Calibri"/>
                <w:i/>
                <w:iCs/>
                <w:color w:val="000000"/>
                <w:sz w:val="18"/>
                <w:szCs w:val="18"/>
              </w:rPr>
              <w:t xml:space="preserve">Mixtape, </w:t>
            </w:r>
            <w:r>
              <w:rPr>
                <w:rFonts w:ascii="Garamond" w:eastAsia="Times New Roman" w:hAnsi="Garamond" w:cs="Calibri"/>
                <w:color w:val="000000"/>
                <w:sz w:val="18"/>
                <w:szCs w:val="18"/>
              </w:rPr>
              <w:t>Chapter 7</w:t>
            </w:r>
          </w:p>
          <w:p w14:paraId="215C5F15" w14:textId="77777777" w:rsidR="0041585D" w:rsidRDefault="0041585D" w:rsidP="0041585D">
            <w:pPr>
              <w:spacing w:after="0" w:line="240" w:lineRule="auto"/>
              <w:rPr>
                <w:rFonts w:ascii="Garamond" w:eastAsia="Times New Roman" w:hAnsi="Garamond" w:cs="Calibri"/>
                <w:color w:val="000000"/>
                <w:sz w:val="18"/>
                <w:szCs w:val="18"/>
              </w:rPr>
            </w:pPr>
            <w:r>
              <w:rPr>
                <w:rFonts w:ascii="Garamond" w:eastAsia="Times New Roman" w:hAnsi="Garamond" w:cs="Calibri"/>
                <w:b/>
                <w:color w:val="000000"/>
                <w:sz w:val="18"/>
                <w:szCs w:val="18"/>
              </w:rPr>
              <w:t>Supplemental:</w:t>
            </w:r>
            <w:r w:rsidRPr="006F5C0E">
              <w:rPr>
                <w:rFonts w:ascii="Garamond" w:eastAsia="Times New Roman" w:hAnsi="Garamond" w:cs="Calibri"/>
                <w:color w:val="000000"/>
                <w:sz w:val="18"/>
                <w:szCs w:val="18"/>
              </w:rPr>
              <w:t xml:space="preserve"> </w:t>
            </w:r>
          </w:p>
          <w:p w14:paraId="5240B9D2" w14:textId="6FB86099" w:rsidR="0041585D" w:rsidRPr="006F5C0E" w:rsidRDefault="0041585D" w:rsidP="0041585D">
            <w:pPr>
              <w:spacing w:after="0" w:line="240" w:lineRule="auto"/>
              <w:rPr>
                <w:rFonts w:ascii="Garamond" w:eastAsia="Times New Roman" w:hAnsi="Garamond" w:cs="Calibri"/>
                <w:color w:val="000000"/>
                <w:sz w:val="18"/>
                <w:szCs w:val="18"/>
              </w:rPr>
            </w:pPr>
            <w:r w:rsidRPr="0022002F">
              <w:rPr>
                <w:rFonts w:ascii="Garamond" w:eastAsia="Times New Roman" w:hAnsi="Garamond" w:cs="Calibri"/>
                <w:i/>
                <w:iCs/>
                <w:color w:val="000000"/>
                <w:sz w:val="18"/>
                <w:szCs w:val="18"/>
              </w:rPr>
              <w:t>Blandhol, Christine, et al. "When is TSLS Actually LATE?." University of Chicago, Becker Friedman Institute for Economics Working Paper 2022-16 (2022).</w:t>
            </w:r>
          </w:p>
        </w:tc>
      </w:tr>
      <w:tr w:rsidR="0041585D" w:rsidRPr="006F5C0E" w14:paraId="6A1E4B1D" w14:textId="77777777" w:rsidTr="0041585D">
        <w:trPr>
          <w:trHeight w:val="3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754D312C" w14:textId="77777777" w:rsidR="0041585D" w:rsidRPr="006F5C0E" w:rsidRDefault="0041585D" w:rsidP="0041585D">
            <w:pPr>
              <w:spacing w:after="0" w:line="240" w:lineRule="auto"/>
              <w:jc w:val="center"/>
              <w:rPr>
                <w:rFonts w:ascii="Garamond" w:eastAsia="Times New Roman" w:hAnsi="Garamond" w:cs="Calibri"/>
                <w:color w:val="000000"/>
                <w:sz w:val="18"/>
                <w:szCs w:val="18"/>
              </w:rPr>
            </w:pPr>
            <w:r w:rsidRPr="006F5C0E">
              <w:rPr>
                <w:rFonts w:ascii="Garamond" w:eastAsia="Times New Roman" w:hAnsi="Garamond" w:cs="Calibri"/>
                <w:color w:val="000000"/>
                <w:sz w:val="18"/>
                <w:szCs w:val="18"/>
              </w:rPr>
              <w:t>7</w:t>
            </w:r>
          </w:p>
        </w:tc>
        <w:tc>
          <w:tcPr>
            <w:tcW w:w="1068" w:type="dxa"/>
            <w:tcBorders>
              <w:top w:val="nil"/>
              <w:left w:val="nil"/>
              <w:bottom w:val="single" w:sz="4" w:space="0" w:color="auto"/>
              <w:right w:val="single" w:sz="4" w:space="0" w:color="auto"/>
            </w:tcBorders>
            <w:shd w:val="clear" w:color="auto" w:fill="auto"/>
            <w:noWrap/>
            <w:vAlign w:val="center"/>
            <w:hideMark/>
          </w:tcPr>
          <w:p w14:paraId="2D6451DB" w14:textId="6294B63B" w:rsidR="0041585D" w:rsidRPr="006F5C0E" w:rsidRDefault="0041585D" w:rsidP="0041585D">
            <w:pPr>
              <w:spacing w:after="0" w:line="240" w:lineRule="auto"/>
              <w:jc w:val="center"/>
              <w:rPr>
                <w:rFonts w:ascii="Garamond" w:eastAsia="Times New Roman" w:hAnsi="Garamond" w:cs="Calibri"/>
                <w:color w:val="000000"/>
                <w:sz w:val="18"/>
                <w:szCs w:val="18"/>
              </w:rPr>
            </w:pPr>
            <w:r>
              <w:rPr>
                <w:rFonts w:ascii="Garamond" w:eastAsia="Times New Roman" w:hAnsi="Garamond" w:cs="Calibri"/>
                <w:color w:val="000000"/>
                <w:sz w:val="18"/>
                <w:szCs w:val="18"/>
              </w:rPr>
              <w:t>March 20</w:t>
            </w:r>
          </w:p>
        </w:tc>
        <w:tc>
          <w:tcPr>
            <w:tcW w:w="3909" w:type="dxa"/>
            <w:tcBorders>
              <w:top w:val="nil"/>
              <w:left w:val="nil"/>
              <w:bottom w:val="single" w:sz="4" w:space="0" w:color="auto"/>
              <w:right w:val="single" w:sz="4" w:space="0" w:color="auto"/>
            </w:tcBorders>
            <w:shd w:val="clear" w:color="auto" w:fill="auto"/>
            <w:vAlign w:val="center"/>
          </w:tcPr>
          <w:p w14:paraId="7CA5158C" w14:textId="29240B20" w:rsidR="0041585D" w:rsidRPr="006F5C0E" w:rsidRDefault="0041585D" w:rsidP="0041585D">
            <w:pPr>
              <w:spacing w:after="0" w:line="240" w:lineRule="auto"/>
              <w:rPr>
                <w:rFonts w:ascii="Garamond" w:eastAsia="Times New Roman" w:hAnsi="Garamond" w:cs="Calibri"/>
                <w:color w:val="000000"/>
                <w:sz w:val="18"/>
                <w:szCs w:val="18"/>
              </w:rPr>
            </w:pPr>
            <w:r w:rsidRPr="006F5C0E">
              <w:rPr>
                <w:rFonts w:ascii="Garamond" w:eastAsia="Times New Roman" w:hAnsi="Garamond" w:cs="Calibri"/>
                <w:color w:val="000000"/>
                <w:sz w:val="18"/>
                <w:szCs w:val="18"/>
              </w:rPr>
              <w:t>Panel data</w:t>
            </w:r>
            <w:r w:rsidR="0039612C">
              <w:rPr>
                <w:rFonts w:ascii="Garamond" w:eastAsia="Times New Roman" w:hAnsi="Garamond" w:cs="Calibri"/>
                <w:color w:val="000000"/>
                <w:sz w:val="18"/>
                <w:szCs w:val="18"/>
              </w:rPr>
              <w:t xml:space="preserve"> estimators</w:t>
            </w:r>
            <w:r w:rsidRPr="006F5C0E">
              <w:rPr>
                <w:rFonts w:ascii="Garamond" w:eastAsia="Times New Roman" w:hAnsi="Garamond" w:cs="Calibri"/>
                <w:color w:val="000000"/>
                <w:sz w:val="18"/>
                <w:szCs w:val="18"/>
              </w:rPr>
              <w:t xml:space="preserve">. Difference-in-differences. </w:t>
            </w:r>
            <w:r>
              <w:rPr>
                <w:rFonts w:ascii="Garamond" w:eastAsia="Times New Roman" w:hAnsi="Garamond" w:cs="Calibri"/>
                <w:color w:val="000000"/>
                <w:sz w:val="18"/>
                <w:szCs w:val="18"/>
              </w:rPr>
              <w:t>Comparative interrupted time series</w:t>
            </w:r>
            <w:r w:rsidRPr="006F5C0E">
              <w:rPr>
                <w:rFonts w:ascii="Garamond" w:eastAsia="Times New Roman" w:hAnsi="Garamond" w:cs="Calibri"/>
                <w:color w:val="000000"/>
                <w:sz w:val="18"/>
                <w:szCs w:val="18"/>
              </w:rPr>
              <w:t xml:space="preserve">. </w:t>
            </w:r>
          </w:p>
        </w:tc>
        <w:tc>
          <w:tcPr>
            <w:tcW w:w="8549" w:type="dxa"/>
            <w:tcBorders>
              <w:top w:val="nil"/>
              <w:left w:val="nil"/>
              <w:bottom w:val="single" w:sz="4" w:space="0" w:color="auto"/>
              <w:right w:val="single" w:sz="4" w:space="0" w:color="auto"/>
            </w:tcBorders>
            <w:shd w:val="clear" w:color="auto" w:fill="auto"/>
            <w:vAlign w:val="center"/>
          </w:tcPr>
          <w:p w14:paraId="2434FFD8" w14:textId="77777777" w:rsidR="0041585D" w:rsidRPr="0022002F" w:rsidRDefault="0041585D" w:rsidP="0041585D">
            <w:pPr>
              <w:spacing w:after="0" w:line="240" w:lineRule="auto"/>
              <w:rPr>
                <w:rFonts w:ascii="Garamond" w:eastAsia="Times New Roman" w:hAnsi="Garamond" w:cs="Calibri"/>
                <w:i/>
                <w:iCs/>
                <w:color w:val="000000"/>
                <w:sz w:val="18"/>
                <w:szCs w:val="18"/>
              </w:rPr>
            </w:pPr>
            <w:r w:rsidRPr="0022002F">
              <w:rPr>
                <w:rFonts w:ascii="Garamond" w:eastAsia="Times New Roman" w:hAnsi="Garamond" w:cs="Calibri"/>
                <w:b/>
                <w:iCs/>
                <w:color w:val="000000"/>
                <w:sz w:val="18"/>
                <w:szCs w:val="18"/>
              </w:rPr>
              <w:t>Required:</w:t>
            </w:r>
          </w:p>
          <w:p w14:paraId="2047D58A" w14:textId="77777777" w:rsidR="0041585D" w:rsidRPr="0022002F" w:rsidRDefault="0041585D" w:rsidP="0041585D">
            <w:pPr>
              <w:spacing w:after="0" w:line="240" w:lineRule="auto"/>
              <w:rPr>
                <w:rFonts w:ascii="Garamond" w:eastAsia="Times New Roman" w:hAnsi="Garamond" w:cs="Calibri"/>
                <w:color w:val="000000"/>
                <w:sz w:val="18"/>
                <w:szCs w:val="18"/>
              </w:rPr>
            </w:pPr>
            <w:r w:rsidRPr="0022002F">
              <w:rPr>
                <w:rFonts w:ascii="Garamond" w:eastAsia="Times New Roman" w:hAnsi="Garamond" w:cs="Calibri"/>
                <w:i/>
                <w:iCs/>
                <w:color w:val="000000"/>
                <w:sz w:val="18"/>
                <w:szCs w:val="18"/>
              </w:rPr>
              <w:t xml:space="preserve">Mixtape, </w:t>
            </w:r>
            <w:r w:rsidRPr="0022002F">
              <w:rPr>
                <w:rFonts w:ascii="Garamond" w:eastAsia="Times New Roman" w:hAnsi="Garamond" w:cs="Calibri"/>
                <w:color w:val="000000"/>
                <w:sz w:val="18"/>
                <w:szCs w:val="18"/>
              </w:rPr>
              <w:t>Chapter</w:t>
            </w:r>
            <w:r>
              <w:rPr>
                <w:rFonts w:ascii="Garamond" w:eastAsia="Times New Roman" w:hAnsi="Garamond" w:cs="Calibri"/>
                <w:color w:val="000000"/>
                <w:sz w:val="18"/>
                <w:szCs w:val="18"/>
              </w:rPr>
              <w:t>s 8-9</w:t>
            </w:r>
          </w:p>
          <w:p w14:paraId="7ED7E153" w14:textId="77777777" w:rsidR="0041585D" w:rsidRPr="0022002F" w:rsidRDefault="0041585D" w:rsidP="0041585D">
            <w:pPr>
              <w:spacing w:after="0" w:line="240" w:lineRule="auto"/>
              <w:rPr>
                <w:rFonts w:ascii="Garamond" w:eastAsia="Times New Roman" w:hAnsi="Garamond" w:cs="Calibri"/>
                <w:color w:val="000000"/>
                <w:sz w:val="18"/>
                <w:szCs w:val="18"/>
              </w:rPr>
            </w:pPr>
            <w:r w:rsidRPr="0022002F">
              <w:rPr>
                <w:rFonts w:ascii="Garamond" w:eastAsia="Times New Roman" w:hAnsi="Garamond" w:cs="Calibri"/>
                <w:b/>
                <w:color w:val="000000"/>
                <w:sz w:val="18"/>
                <w:szCs w:val="18"/>
              </w:rPr>
              <w:t>Supplemental:</w:t>
            </w:r>
            <w:r w:rsidRPr="0022002F">
              <w:rPr>
                <w:rFonts w:ascii="Garamond" w:eastAsia="Times New Roman" w:hAnsi="Garamond" w:cs="Calibri"/>
                <w:color w:val="000000"/>
                <w:sz w:val="18"/>
                <w:szCs w:val="18"/>
              </w:rPr>
              <w:t xml:space="preserve"> </w:t>
            </w:r>
          </w:p>
          <w:p w14:paraId="643897A4" w14:textId="3AEC3752" w:rsidR="0041585D" w:rsidRPr="006F5C0E" w:rsidRDefault="0041585D" w:rsidP="0041585D">
            <w:pPr>
              <w:spacing w:after="0" w:line="240" w:lineRule="auto"/>
              <w:rPr>
                <w:rFonts w:ascii="Garamond" w:eastAsia="Times New Roman" w:hAnsi="Garamond" w:cs="Calibri"/>
                <w:color w:val="000000"/>
                <w:sz w:val="18"/>
                <w:szCs w:val="18"/>
              </w:rPr>
            </w:pPr>
            <w:r w:rsidRPr="0022002F">
              <w:rPr>
                <w:rFonts w:ascii="Garamond" w:eastAsia="Times New Roman" w:hAnsi="Garamond" w:cs="Calibri"/>
                <w:i/>
                <w:iCs/>
                <w:color w:val="000000"/>
                <w:sz w:val="18"/>
                <w:szCs w:val="18"/>
              </w:rPr>
              <w:t>Mastering Metrics</w:t>
            </w:r>
            <w:r w:rsidRPr="0022002F">
              <w:rPr>
                <w:rFonts w:ascii="Garamond" w:eastAsia="Times New Roman" w:hAnsi="Garamond" w:cs="Calibri"/>
                <w:color w:val="000000"/>
                <w:sz w:val="18"/>
                <w:szCs w:val="18"/>
              </w:rPr>
              <w:t xml:space="preserve">, Chapter 3; </w:t>
            </w:r>
            <w:r w:rsidRPr="0022002F">
              <w:rPr>
                <w:rFonts w:ascii="Garamond" w:eastAsia="Times New Roman" w:hAnsi="Garamond" w:cs="Calibri"/>
                <w:i/>
                <w:iCs/>
                <w:color w:val="000000"/>
                <w:sz w:val="18"/>
                <w:szCs w:val="18"/>
              </w:rPr>
              <w:t xml:space="preserve">Counterfactuals and Causal Inference, </w:t>
            </w:r>
            <w:r w:rsidRPr="0022002F">
              <w:rPr>
                <w:rFonts w:ascii="Garamond" w:eastAsia="Times New Roman" w:hAnsi="Garamond" w:cs="Calibri"/>
                <w:color w:val="000000"/>
                <w:sz w:val="18"/>
                <w:szCs w:val="18"/>
              </w:rPr>
              <w:t>Chapter 9</w:t>
            </w:r>
          </w:p>
        </w:tc>
      </w:tr>
      <w:tr w:rsidR="0041585D" w:rsidRPr="006F5C0E" w14:paraId="4773E870" w14:textId="77777777" w:rsidTr="00355605">
        <w:trPr>
          <w:trHeight w:val="3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27347DE4" w14:textId="77777777" w:rsidR="0041585D" w:rsidRPr="006F5C0E" w:rsidRDefault="0041585D" w:rsidP="0041585D">
            <w:pPr>
              <w:spacing w:after="0" w:line="240" w:lineRule="auto"/>
              <w:jc w:val="center"/>
              <w:rPr>
                <w:rFonts w:ascii="Garamond" w:eastAsia="Times New Roman" w:hAnsi="Garamond" w:cs="Calibri"/>
                <w:color w:val="000000"/>
                <w:sz w:val="18"/>
                <w:szCs w:val="18"/>
              </w:rPr>
            </w:pPr>
            <w:r w:rsidRPr="006F5C0E">
              <w:rPr>
                <w:rFonts w:ascii="Garamond" w:eastAsia="Times New Roman" w:hAnsi="Garamond" w:cs="Calibri"/>
                <w:color w:val="000000"/>
                <w:sz w:val="18"/>
                <w:szCs w:val="18"/>
              </w:rPr>
              <w:t>8</w:t>
            </w:r>
          </w:p>
        </w:tc>
        <w:tc>
          <w:tcPr>
            <w:tcW w:w="1068" w:type="dxa"/>
            <w:tcBorders>
              <w:top w:val="nil"/>
              <w:left w:val="nil"/>
              <w:bottom w:val="single" w:sz="4" w:space="0" w:color="auto"/>
              <w:right w:val="single" w:sz="4" w:space="0" w:color="auto"/>
            </w:tcBorders>
            <w:shd w:val="clear" w:color="auto" w:fill="auto"/>
            <w:noWrap/>
            <w:vAlign w:val="center"/>
            <w:hideMark/>
          </w:tcPr>
          <w:p w14:paraId="23CE4BF4" w14:textId="5A30BCB8" w:rsidR="0041585D" w:rsidRPr="006F5C0E" w:rsidRDefault="0041585D" w:rsidP="0041585D">
            <w:pPr>
              <w:spacing w:after="0" w:line="240" w:lineRule="auto"/>
              <w:jc w:val="center"/>
              <w:rPr>
                <w:rFonts w:ascii="Garamond" w:eastAsia="Times New Roman" w:hAnsi="Garamond" w:cs="Calibri"/>
                <w:color w:val="000000"/>
                <w:sz w:val="18"/>
                <w:szCs w:val="18"/>
              </w:rPr>
            </w:pPr>
            <w:r>
              <w:rPr>
                <w:rFonts w:ascii="Garamond" w:eastAsia="Times New Roman" w:hAnsi="Garamond" w:cs="Calibri"/>
                <w:color w:val="000000"/>
                <w:sz w:val="18"/>
                <w:szCs w:val="18"/>
              </w:rPr>
              <w:t>March 27</w:t>
            </w:r>
          </w:p>
        </w:tc>
        <w:tc>
          <w:tcPr>
            <w:tcW w:w="3909" w:type="dxa"/>
            <w:tcBorders>
              <w:top w:val="nil"/>
              <w:left w:val="nil"/>
              <w:bottom w:val="single" w:sz="4" w:space="0" w:color="auto"/>
              <w:right w:val="single" w:sz="4" w:space="0" w:color="auto"/>
            </w:tcBorders>
            <w:shd w:val="clear" w:color="auto" w:fill="E2EFD9" w:themeFill="accent6" w:themeFillTint="33"/>
            <w:vAlign w:val="center"/>
          </w:tcPr>
          <w:p w14:paraId="3C4484FD" w14:textId="45095086" w:rsidR="0041585D" w:rsidRPr="006F5C0E" w:rsidRDefault="0041585D" w:rsidP="0041585D">
            <w:pPr>
              <w:spacing w:after="0" w:line="240" w:lineRule="auto"/>
              <w:rPr>
                <w:rFonts w:ascii="Garamond" w:eastAsia="Times New Roman" w:hAnsi="Garamond" w:cs="Calibri"/>
                <w:color w:val="000000"/>
                <w:sz w:val="18"/>
                <w:szCs w:val="18"/>
              </w:rPr>
            </w:pPr>
          </w:p>
        </w:tc>
        <w:tc>
          <w:tcPr>
            <w:tcW w:w="8549" w:type="dxa"/>
            <w:tcBorders>
              <w:top w:val="nil"/>
              <w:left w:val="nil"/>
              <w:bottom w:val="single" w:sz="4" w:space="0" w:color="auto"/>
              <w:right w:val="single" w:sz="4" w:space="0" w:color="auto"/>
            </w:tcBorders>
            <w:shd w:val="clear" w:color="auto" w:fill="E2EFD9" w:themeFill="accent6" w:themeFillTint="33"/>
            <w:vAlign w:val="center"/>
          </w:tcPr>
          <w:p w14:paraId="4D79746A" w14:textId="4ADE9736" w:rsidR="0041585D" w:rsidRPr="000750B6" w:rsidRDefault="0041585D" w:rsidP="0041585D">
            <w:pPr>
              <w:spacing w:after="0" w:line="240" w:lineRule="auto"/>
              <w:rPr>
                <w:rFonts w:ascii="Garamond" w:eastAsia="Times New Roman" w:hAnsi="Garamond" w:cs="Calibri"/>
                <w:b/>
                <w:iCs/>
                <w:color w:val="000000"/>
                <w:sz w:val="18"/>
                <w:szCs w:val="18"/>
              </w:rPr>
            </w:pPr>
            <w:r>
              <w:rPr>
                <w:rFonts w:ascii="Garamond" w:eastAsia="Times New Roman" w:hAnsi="Garamond" w:cs="Calibri"/>
                <w:b/>
                <w:iCs/>
                <w:color w:val="000000"/>
                <w:sz w:val="18"/>
                <w:szCs w:val="18"/>
              </w:rPr>
              <w:t>SPRING BREAK</w:t>
            </w:r>
          </w:p>
        </w:tc>
      </w:tr>
      <w:tr w:rsidR="0041585D" w:rsidRPr="006F5C0E" w14:paraId="0CE4BA59" w14:textId="77777777" w:rsidTr="00C85265">
        <w:trPr>
          <w:trHeight w:val="48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44A8FA09" w14:textId="77777777" w:rsidR="0041585D" w:rsidRPr="006F5C0E" w:rsidRDefault="0041585D" w:rsidP="0041585D">
            <w:pPr>
              <w:spacing w:after="0" w:line="240" w:lineRule="auto"/>
              <w:jc w:val="center"/>
              <w:rPr>
                <w:rFonts w:ascii="Garamond" w:eastAsia="Times New Roman" w:hAnsi="Garamond" w:cs="Calibri"/>
                <w:color w:val="000000"/>
                <w:sz w:val="18"/>
                <w:szCs w:val="18"/>
              </w:rPr>
            </w:pPr>
            <w:r w:rsidRPr="006F5C0E">
              <w:rPr>
                <w:rFonts w:ascii="Garamond" w:eastAsia="Times New Roman" w:hAnsi="Garamond" w:cs="Calibri"/>
                <w:color w:val="000000"/>
                <w:sz w:val="18"/>
                <w:szCs w:val="18"/>
              </w:rPr>
              <w:t>9</w:t>
            </w:r>
          </w:p>
        </w:tc>
        <w:tc>
          <w:tcPr>
            <w:tcW w:w="1068" w:type="dxa"/>
            <w:tcBorders>
              <w:top w:val="nil"/>
              <w:left w:val="nil"/>
              <w:bottom w:val="single" w:sz="4" w:space="0" w:color="auto"/>
              <w:right w:val="single" w:sz="4" w:space="0" w:color="auto"/>
            </w:tcBorders>
            <w:shd w:val="clear" w:color="auto" w:fill="auto"/>
            <w:noWrap/>
            <w:vAlign w:val="center"/>
            <w:hideMark/>
          </w:tcPr>
          <w:p w14:paraId="218D13F2" w14:textId="321BFCFC" w:rsidR="0041585D" w:rsidRPr="006F5C0E" w:rsidRDefault="0041585D" w:rsidP="0041585D">
            <w:pPr>
              <w:spacing w:after="0" w:line="240" w:lineRule="auto"/>
              <w:jc w:val="center"/>
              <w:rPr>
                <w:rFonts w:ascii="Garamond" w:eastAsia="Times New Roman" w:hAnsi="Garamond" w:cs="Calibri"/>
                <w:color w:val="000000"/>
                <w:sz w:val="18"/>
                <w:szCs w:val="18"/>
              </w:rPr>
            </w:pPr>
            <w:r>
              <w:rPr>
                <w:rFonts w:ascii="Garamond" w:eastAsia="Times New Roman" w:hAnsi="Garamond" w:cs="Calibri"/>
                <w:color w:val="000000"/>
                <w:sz w:val="18"/>
                <w:szCs w:val="18"/>
              </w:rPr>
              <w:t>April 3</w:t>
            </w:r>
          </w:p>
        </w:tc>
        <w:tc>
          <w:tcPr>
            <w:tcW w:w="3909" w:type="dxa"/>
            <w:tcBorders>
              <w:top w:val="nil"/>
              <w:left w:val="nil"/>
              <w:bottom w:val="single" w:sz="4" w:space="0" w:color="auto"/>
              <w:right w:val="single" w:sz="4" w:space="0" w:color="auto"/>
            </w:tcBorders>
            <w:shd w:val="clear" w:color="auto" w:fill="EDEDED" w:themeFill="accent3" w:themeFillTint="33"/>
            <w:vAlign w:val="center"/>
          </w:tcPr>
          <w:p w14:paraId="3C42FB3D" w14:textId="1BE63AA4" w:rsidR="0041585D" w:rsidRPr="006F5C0E" w:rsidRDefault="00C22B54" w:rsidP="0041585D">
            <w:pPr>
              <w:spacing w:after="0" w:line="240" w:lineRule="auto"/>
              <w:rPr>
                <w:rFonts w:ascii="Garamond" w:eastAsia="Times New Roman" w:hAnsi="Garamond" w:cs="Calibri"/>
                <w:color w:val="000000"/>
                <w:sz w:val="18"/>
                <w:szCs w:val="18"/>
              </w:rPr>
            </w:pPr>
            <w:r>
              <w:rPr>
                <w:rFonts w:ascii="Garamond" w:eastAsia="Times New Roman" w:hAnsi="Garamond" w:cs="Calibri"/>
                <w:color w:val="000000"/>
                <w:sz w:val="18"/>
                <w:szCs w:val="18"/>
              </w:rPr>
              <w:t>Present PS</w:t>
            </w:r>
            <w:r w:rsidR="0041585D" w:rsidRPr="006F5C0E">
              <w:rPr>
                <w:rFonts w:ascii="Garamond" w:eastAsia="Times New Roman" w:hAnsi="Garamond" w:cs="Calibri"/>
                <w:color w:val="000000"/>
                <w:sz w:val="18"/>
                <w:szCs w:val="18"/>
              </w:rPr>
              <w:t xml:space="preserve"> 2: IV Presentations</w:t>
            </w:r>
            <w:r w:rsidR="0041585D">
              <w:rPr>
                <w:rFonts w:ascii="Garamond" w:eastAsia="Times New Roman" w:hAnsi="Garamond" w:cs="Calibri"/>
                <w:color w:val="000000"/>
                <w:sz w:val="18"/>
                <w:szCs w:val="18"/>
              </w:rPr>
              <w:t xml:space="preserve"> </w:t>
            </w:r>
            <w:r w:rsidR="0041585D" w:rsidRPr="00D80E73">
              <w:rPr>
                <w:rFonts w:ascii="Garamond" w:eastAsia="Times New Roman" w:hAnsi="Garamond" w:cs="Calibri"/>
                <w:color w:val="000000"/>
                <w:sz w:val="18"/>
                <w:szCs w:val="18"/>
              </w:rPr>
              <w:t>(“</w:t>
            </w:r>
            <w:r w:rsidR="00B8610E">
              <w:rPr>
                <w:rFonts w:ascii="Garamond" w:eastAsia="Times New Roman" w:hAnsi="Garamond" w:cs="Calibri"/>
                <w:color w:val="000000"/>
                <w:sz w:val="18"/>
                <w:szCs w:val="18"/>
              </w:rPr>
              <w:t>presentation</w:t>
            </w:r>
            <w:r w:rsidR="0041585D" w:rsidRPr="00D80E73">
              <w:rPr>
                <w:rFonts w:ascii="Garamond" w:eastAsia="Times New Roman" w:hAnsi="Garamond" w:cs="Calibri"/>
                <w:color w:val="000000"/>
                <w:sz w:val="18"/>
                <w:szCs w:val="18"/>
              </w:rPr>
              <w:t xml:space="preserve"> session”)</w:t>
            </w:r>
          </w:p>
        </w:tc>
        <w:tc>
          <w:tcPr>
            <w:tcW w:w="8549" w:type="dxa"/>
            <w:tcBorders>
              <w:top w:val="nil"/>
              <w:left w:val="nil"/>
              <w:bottom w:val="single" w:sz="4" w:space="0" w:color="auto"/>
              <w:right w:val="single" w:sz="4" w:space="0" w:color="auto"/>
            </w:tcBorders>
            <w:shd w:val="clear" w:color="auto" w:fill="EDEDED" w:themeFill="accent3" w:themeFillTint="33"/>
            <w:vAlign w:val="center"/>
          </w:tcPr>
          <w:p w14:paraId="10CFBF25" w14:textId="03FE6AE3" w:rsidR="0041585D" w:rsidRPr="006F5C0E" w:rsidRDefault="0041585D" w:rsidP="0041585D">
            <w:pPr>
              <w:spacing w:after="0" w:line="240" w:lineRule="auto"/>
              <w:rPr>
                <w:rFonts w:ascii="Garamond" w:eastAsia="Times New Roman" w:hAnsi="Garamond" w:cs="Calibri"/>
                <w:i/>
                <w:iCs/>
                <w:color w:val="000000"/>
                <w:sz w:val="18"/>
                <w:szCs w:val="18"/>
              </w:rPr>
            </w:pPr>
          </w:p>
        </w:tc>
      </w:tr>
      <w:tr w:rsidR="00355605" w:rsidRPr="006F5C0E" w14:paraId="1EE1A311" w14:textId="77777777" w:rsidTr="00C85265">
        <w:trPr>
          <w:trHeight w:val="300"/>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D9BE2" w14:textId="77777777" w:rsidR="00355605" w:rsidRPr="00C85265" w:rsidRDefault="00355605" w:rsidP="00355605">
            <w:pPr>
              <w:spacing w:after="0" w:line="240" w:lineRule="auto"/>
              <w:jc w:val="center"/>
              <w:rPr>
                <w:rFonts w:ascii="Garamond" w:eastAsia="Times New Roman" w:hAnsi="Garamond" w:cs="Calibri"/>
                <w:color w:val="000000"/>
                <w:sz w:val="18"/>
                <w:szCs w:val="18"/>
                <w:highlight w:val="yellow"/>
              </w:rPr>
            </w:pPr>
            <w:r w:rsidRPr="00C85265">
              <w:rPr>
                <w:rFonts w:ascii="Garamond" w:eastAsia="Times New Roman" w:hAnsi="Garamond" w:cs="Calibri"/>
                <w:color w:val="000000"/>
                <w:sz w:val="18"/>
                <w:szCs w:val="18"/>
                <w:highlight w:val="yellow"/>
              </w:rPr>
              <w:t>10</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13E205BF" w14:textId="52573718" w:rsidR="00355605" w:rsidRPr="00C85265" w:rsidRDefault="00355605" w:rsidP="00355605">
            <w:pPr>
              <w:spacing w:after="0" w:line="240" w:lineRule="auto"/>
              <w:jc w:val="center"/>
              <w:rPr>
                <w:rFonts w:ascii="Garamond" w:eastAsia="Times New Roman" w:hAnsi="Garamond" w:cs="Calibri"/>
                <w:color w:val="000000"/>
                <w:sz w:val="18"/>
                <w:szCs w:val="18"/>
                <w:highlight w:val="yellow"/>
              </w:rPr>
            </w:pPr>
            <w:r w:rsidRPr="00C85265">
              <w:rPr>
                <w:rFonts w:ascii="Garamond" w:eastAsia="Times New Roman" w:hAnsi="Garamond" w:cs="Calibri"/>
                <w:color w:val="000000"/>
                <w:sz w:val="18"/>
                <w:szCs w:val="18"/>
                <w:highlight w:val="yellow"/>
              </w:rPr>
              <w:t>April 10</w:t>
            </w:r>
          </w:p>
        </w:tc>
        <w:tc>
          <w:tcPr>
            <w:tcW w:w="3909"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1031F4A" w14:textId="7C06BAC2" w:rsidR="00355605" w:rsidRPr="00C85265" w:rsidRDefault="00C22B54" w:rsidP="00355605">
            <w:pPr>
              <w:spacing w:after="0" w:line="240" w:lineRule="auto"/>
              <w:rPr>
                <w:rFonts w:ascii="Garamond" w:eastAsia="Times New Roman" w:hAnsi="Garamond" w:cs="Calibri"/>
                <w:color w:val="000000"/>
                <w:sz w:val="18"/>
                <w:szCs w:val="18"/>
                <w:highlight w:val="yellow"/>
              </w:rPr>
            </w:pPr>
            <w:r w:rsidRPr="00C85265">
              <w:rPr>
                <w:rFonts w:ascii="Garamond" w:eastAsia="Times New Roman" w:hAnsi="Garamond" w:cs="Calibri"/>
                <w:color w:val="000000"/>
                <w:sz w:val="18"/>
                <w:szCs w:val="18"/>
                <w:highlight w:val="yellow"/>
              </w:rPr>
              <w:t xml:space="preserve">Distribute PS 3: </w:t>
            </w:r>
            <w:r w:rsidR="006E7710" w:rsidRPr="00C85265">
              <w:rPr>
                <w:rFonts w:ascii="Garamond" w:eastAsia="Times New Roman" w:hAnsi="Garamond" w:cs="Calibri"/>
                <w:color w:val="000000"/>
                <w:sz w:val="18"/>
                <w:szCs w:val="18"/>
                <w:highlight w:val="yellow"/>
              </w:rPr>
              <w:t xml:space="preserve">Traditional DID + Comparative Case Studies (DID with propensity score; synthetic controls (SC); augmented synthetic controls </w:t>
            </w:r>
            <w:r w:rsidR="006E7710" w:rsidRPr="00C85265">
              <w:rPr>
                <w:rFonts w:ascii="Garamond" w:eastAsia="Times New Roman" w:hAnsi="Garamond" w:cs="Calibri"/>
                <w:color w:val="000000"/>
                <w:sz w:val="18"/>
                <w:szCs w:val="18"/>
                <w:highlight w:val="yellow"/>
              </w:rPr>
              <w:lastRenderedPageBreak/>
              <w:t>(ASCM); synthetic DID)</w:t>
            </w:r>
          </w:p>
        </w:tc>
        <w:tc>
          <w:tcPr>
            <w:tcW w:w="8549"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9B43E32" w14:textId="77777777" w:rsidR="00355605" w:rsidRPr="00C85265" w:rsidRDefault="00355605" w:rsidP="00355605">
            <w:pPr>
              <w:spacing w:after="0" w:line="240" w:lineRule="auto"/>
              <w:rPr>
                <w:rFonts w:ascii="Garamond" w:eastAsia="Times New Roman" w:hAnsi="Garamond" w:cs="Calibri"/>
                <w:i/>
                <w:iCs/>
                <w:color w:val="000000"/>
                <w:sz w:val="18"/>
                <w:szCs w:val="18"/>
                <w:highlight w:val="yellow"/>
              </w:rPr>
            </w:pPr>
            <w:r w:rsidRPr="00C85265">
              <w:rPr>
                <w:rFonts w:ascii="Garamond" w:eastAsia="Times New Roman" w:hAnsi="Garamond" w:cs="Calibri"/>
                <w:b/>
                <w:iCs/>
                <w:color w:val="000000"/>
                <w:sz w:val="18"/>
                <w:szCs w:val="18"/>
                <w:highlight w:val="yellow"/>
              </w:rPr>
              <w:lastRenderedPageBreak/>
              <w:t>Required:</w:t>
            </w:r>
          </w:p>
          <w:p w14:paraId="01B13E83" w14:textId="77777777" w:rsidR="009E087C" w:rsidRPr="00C85265" w:rsidRDefault="00355605" w:rsidP="00355605">
            <w:pPr>
              <w:spacing w:after="0" w:line="240" w:lineRule="auto"/>
              <w:rPr>
                <w:rFonts w:ascii="Garamond" w:eastAsia="Times New Roman" w:hAnsi="Garamond" w:cs="Calibri"/>
                <w:i/>
                <w:iCs/>
                <w:color w:val="000000"/>
                <w:sz w:val="18"/>
                <w:szCs w:val="18"/>
                <w:highlight w:val="yellow"/>
              </w:rPr>
            </w:pPr>
            <w:r w:rsidRPr="00C85265">
              <w:rPr>
                <w:rFonts w:ascii="Garamond" w:eastAsia="Times New Roman" w:hAnsi="Garamond" w:cs="Calibri"/>
                <w:i/>
                <w:iCs/>
                <w:color w:val="000000"/>
                <w:sz w:val="18"/>
                <w:szCs w:val="18"/>
                <w:highlight w:val="yellow"/>
              </w:rPr>
              <w:t>Goodman-Bacon, Andrew. "Difference-in-differences with variation in treatment timing." Journal of Econometrics 225.2 (2021): 254-277.</w:t>
            </w:r>
            <w:r w:rsidR="00BA36A2" w:rsidRPr="00C85265">
              <w:rPr>
                <w:rFonts w:ascii="Garamond" w:eastAsia="Times New Roman" w:hAnsi="Garamond" w:cs="Calibri"/>
                <w:color w:val="000000"/>
                <w:sz w:val="18"/>
                <w:szCs w:val="18"/>
                <w:highlight w:val="yellow"/>
              </w:rPr>
              <w:t xml:space="preserve"> </w:t>
            </w:r>
            <w:r w:rsidR="00BA36A2" w:rsidRPr="00C85265">
              <w:rPr>
                <w:rFonts w:ascii="Garamond" w:eastAsia="Times New Roman" w:hAnsi="Garamond" w:cs="Calibri"/>
                <w:i/>
                <w:iCs/>
                <w:color w:val="000000"/>
                <w:sz w:val="18"/>
                <w:szCs w:val="18"/>
                <w:highlight w:val="yellow"/>
              </w:rPr>
              <w:t xml:space="preserve">Baker, Andrew C., David F. Larcker, and Charles CY Wang. "How much should we trust staggered difference-in-differences </w:t>
            </w:r>
            <w:r w:rsidR="00BA36A2" w:rsidRPr="00C85265">
              <w:rPr>
                <w:rFonts w:ascii="Garamond" w:eastAsia="Times New Roman" w:hAnsi="Garamond" w:cs="Calibri"/>
                <w:i/>
                <w:iCs/>
                <w:color w:val="000000"/>
                <w:sz w:val="18"/>
                <w:szCs w:val="18"/>
                <w:highlight w:val="yellow"/>
              </w:rPr>
              <w:lastRenderedPageBreak/>
              <w:t>estimates?." Journal of Financial Economics 144.2 (2022): 370-395.</w:t>
            </w:r>
          </w:p>
          <w:p w14:paraId="282205AB" w14:textId="307132A9" w:rsidR="00355605" w:rsidRPr="00C85265" w:rsidRDefault="00355605" w:rsidP="00355605">
            <w:pPr>
              <w:spacing w:after="0" w:line="240" w:lineRule="auto"/>
              <w:rPr>
                <w:rFonts w:ascii="Garamond" w:eastAsia="Times New Roman" w:hAnsi="Garamond" w:cs="Calibri"/>
                <w:color w:val="000000"/>
                <w:sz w:val="18"/>
                <w:szCs w:val="18"/>
                <w:highlight w:val="yellow"/>
              </w:rPr>
            </w:pPr>
            <w:r w:rsidRPr="00C85265">
              <w:rPr>
                <w:rFonts w:ascii="Garamond" w:eastAsia="Times New Roman" w:hAnsi="Garamond" w:cs="Calibri"/>
                <w:b/>
                <w:color w:val="000000"/>
                <w:sz w:val="18"/>
                <w:szCs w:val="18"/>
                <w:highlight w:val="yellow"/>
              </w:rPr>
              <w:t>Supplemental:</w:t>
            </w:r>
            <w:r w:rsidRPr="00C85265">
              <w:rPr>
                <w:rFonts w:ascii="Garamond" w:eastAsia="Times New Roman" w:hAnsi="Garamond" w:cs="Calibri"/>
                <w:color w:val="000000"/>
                <w:sz w:val="18"/>
                <w:szCs w:val="18"/>
                <w:highlight w:val="yellow"/>
              </w:rPr>
              <w:t xml:space="preserve"> </w:t>
            </w:r>
          </w:p>
          <w:p w14:paraId="4FD44ED8" w14:textId="3C40311C" w:rsidR="00355605" w:rsidRPr="00C85265" w:rsidRDefault="00355605" w:rsidP="00355605">
            <w:pPr>
              <w:spacing w:after="0" w:line="240" w:lineRule="auto"/>
              <w:rPr>
                <w:rFonts w:ascii="Garamond" w:eastAsia="Times New Roman" w:hAnsi="Garamond" w:cs="Calibri"/>
                <w:color w:val="000000"/>
                <w:sz w:val="18"/>
                <w:szCs w:val="18"/>
                <w:highlight w:val="yellow"/>
              </w:rPr>
            </w:pPr>
            <w:r w:rsidRPr="00C85265">
              <w:rPr>
                <w:rFonts w:ascii="Garamond" w:eastAsia="Times New Roman" w:hAnsi="Garamond" w:cs="Calibri"/>
                <w:i/>
                <w:iCs/>
                <w:color w:val="000000"/>
                <w:sz w:val="18"/>
                <w:szCs w:val="18"/>
                <w:highlight w:val="yellow"/>
              </w:rPr>
              <w:t xml:space="preserve">Mastering Metrics, </w:t>
            </w:r>
            <w:r w:rsidRPr="00C85265">
              <w:rPr>
                <w:rFonts w:ascii="Garamond" w:eastAsia="Times New Roman" w:hAnsi="Garamond" w:cs="Calibri"/>
                <w:color w:val="000000"/>
                <w:sz w:val="18"/>
                <w:szCs w:val="18"/>
                <w:highlight w:val="yellow"/>
              </w:rPr>
              <w:t xml:space="preserve">Chapter 5; </w:t>
            </w:r>
            <w:r w:rsidRPr="00C85265">
              <w:rPr>
                <w:rFonts w:ascii="Garamond" w:eastAsia="Times New Roman" w:hAnsi="Garamond" w:cs="Calibri"/>
                <w:i/>
                <w:iCs/>
                <w:color w:val="000000"/>
                <w:sz w:val="18"/>
                <w:szCs w:val="18"/>
                <w:highlight w:val="yellow"/>
              </w:rPr>
              <w:t xml:space="preserve">Counterfactuals and Causal Inference, </w:t>
            </w:r>
            <w:r w:rsidRPr="00C85265">
              <w:rPr>
                <w:rFonts w:ascii="Garamond" w:eastAsia="Times New Roman" w:hAnsi="Garamond" w:cs="Calibri"/>
                <w:color w:val="000000"/>
                <w:sz w:val="18"/>
                <w:szCs w:val="18"/>
                <w:highlight w:val="yellow"/>
              </w:rPr>
              <w:t>pages 363-392 </w:t>
            </w:r>
          </w:p>
        </w:tc>
      </w:tr>
      <w:tr w:rsidR="00BA36A2" w:rsidRPr="006F5C0E" w14:paraId="03F908C0" w14:textId="77777777" w:rsidTr="00C85265">
        <w:trPr>
          <w:trHeight w:val="480"/>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97A8C" w14:textId="77777777" w:rsidR="00BA36A2" w:rsidRPr="00C85265" w:rsidRDefault="00BA36A2" w:rsidP="00BA36A2">
            <w:pPr>
              <w:spacing w:after="0" w:line="240" w:lineRule="auto"/>
              <w:jc w:val="center"/>
              <w:rPr>
                <w:rFonts w:ascii="Garamond" w:eastAsia="Times New Roman" w:hAnsi="Garamond" w:cs="Calibri"/>
                <w:color w:val="000000"/>
                <w:sz w:val="18"/>
                <w:szCs w:val="18"/>
                <w:highlight w:val="yellow"/>
              </w:rPr>
            </w:pPr>
            <w:r w:rsidRPr="00C85265">
              <w:rPr>
                <w:rFonts w:ascii="Garamond" w:eastAsia="Times New Roman" w:hAnsi="Garamond" w:cs="Calibri"/>
                <w:color w:val="000000"/>
                <w:sz w:val="18"/>
                <w:szCs w:val="18"/>
                <w:highlight w:val="yellow"/>
              </w:rPr>
              <w:lastRenderedPageBreak/>
              <w:t>11</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251F2F9E" w14:textId="3E6AA9F7" w:rsidR="00BA36A2" w:rsidRPr="00C85265" w:rsidRDefault="00BA36A2" w:rsidP="00BA36A2">
            <w:pPr>
              <w:spacing w:after="0" w:line="240" w:lineRule="auto"/>
              <w:jc w:val="center"/>
              <w:rPr>
                <w:rFonts w:ascii="Garamond" w:eastAsia="Times New Roman" w:hAnsi="Garamond" w:cs="Calibri"/>
                <w:color w:val="000000"/>
                <w:sz w:val="18"/>
                <w:szCs w:val="18"/>
                <w:highlight w:val="yellow"/>
              </w:rPr>
            </w:pPr>
            <w:r w:rsidRPr="00C85265">
              <w:rPr>
                <w:rFonts w:ascii="Garamond" w:eastAsia="Times New Roman" w:hAnsi="Garamond" w:cs="Calibri"/>
                <w:color w:val="000000"/>
                <w:sz w:val="18"/>
                <w:szCs w:val="18"/>
                <w:highlight w:val="yellow"/>
              </w:rPr>
              <w:t>April 17</w:t>
            </w:r>
          </w:p>
        </w:tc>
        <w:tc>
          <w:tcPr>
            <w:tcW w:w="3909" w:type="dxa"/>
            <w:tcBorders>
              <w:top w:val="single" w:sz="4" w:space="0" w:color="auto"/>
              <w:left w:val="nil"/>
              <w:bottom w:val="single" w:sz="4" w:space="0" w:color="auto"/>
              <w:right w:val="single" w:sz="4" w:space="0" w:color="auto"/>
            </w:tcBorders>
            <w:shd w:val="clear" w:color="auto" w:fill="auto"/>
            <w:vAlign w:val="center"/>
          </w:tcPr>
          <w:p w14:paraId="3872834F" w14:textId="26C01FDB" w:rsidR="00BA36A2" w:rsidRPr="00C85265" w:rsidRDefault="00931A42" w:rsidP="00BA36A2">
            <w:pPr>
              <w:spacing w:after="0" w:line="240" w:lineRule="auto"/>
              <w:rPr>
                <w:rFonts w:ascii="Garamond" w:eastAsia="Times New Roman" w:hAnsi="Garamond" w:cs="Calibri"/>
                <w:color w:val="000000"/>
                <w:sz w:val="18"/>
                <w:szCs w:val="18"/>
                <w:highlight w:val="yellow"/>
              </w:rPr>
            </w:pPr>
            <w:r w:rsidRPr="00C85265">
              <w:rPr>
                <w:rFonts w:ascii="Garamond" w:eastAsia="Times New Roman" w:hAnsi="Garamond" w:cs="Calibri"/>
                <w:color w:val="000000"/>
                <w:sz w:val="18"/>
                <w:szCs w:val="18"/>
                <w:highlight w:val="yellow"/>
              </w:rPr>
              <w:t xml:space="preserve">Treatment effect heterogeneity bias solutions: </w:t>
            </w:r>
            <w:r w:rsidR="00CA2626" w:rsidRPr="00C85265">
              <w:rPr>
                <w:rFonts w:ascii="Garamond" w:eastAsia="Times New Roman" w:hAnsi="Garamond" w:cs="Calibri"/>
                <w:color w:val="000000"/>
                <w:sz w:val="18"/>
                <w:szCs w:val="18"/>
                <w:highlight w:val="yellow"/>
              </w:rPr>
              <w:t xml:space="preserve">New estimators for treatment effect heterogeneity; parallel trend violations and Honest DID </w:t>
            </w:r>
          </w:p>
        </w:tc>
        <w:tc>
          <w:tcPr>
            <w:tcW w:w="8549" w:type="dxa"/>
            <w:tcBorders>
              <w:top w:val="single" w:sz="4" w:space="0" w:color="auto"/>
              <w:left w:val="nil"/>
              <w:bottom w:val="single" w:sz="4" w:space="0" w:color="auto"/>
              <w:right w:val="single" w:sz="4" w:space="0" w:color="auto"/>
            </w:tcBorders>
            <w:shd w:val="clear" w:color="auto" w:fill="auto"/>
            <w:vAlign w:val="center"/>
          </w:tcPr>
          <w:p w14:paraId="38071D3A" w14:textId="6067FC12" w:rsidR="00BA36A2" w:rsidRPr="00C85265" w:rsidRDefault="00BA36A2" w:rsidP="00BA36A2">
            <w:pPr>
              <w:spacing w:after="0" w:line="240" w:lineRule="auto"/>
              <w:rPr>
                <w:rFonts w:ascii="Garamond" w:eastAsia="Times New Roman" w:hAnsi="Garamond" w:cs="Calibri"/>
                <w:color w:val="000000"/>
                <w:sz w:val="18"/>
                <w:szCs w:val="18"/>
                <w:highlight w:val="yellow"/>
              </w:rPr>
            </w:pPr>
          </w:p>
        </w:tc>
      </w:tr>
      <w:tr w:rsidR="00355605" w:rsidRPr="006F5C0E" w14:paraId="505232BA" w14:textId="77777777" w:rsidTr="00C85265">
        <w:trPr>
          <w:trHeight w:val="300"/>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D15697" w14:textId="77777777" w:rsidR="00355605" w:rsidRPr="00C85265" w:rsidRDefault="00355605" w:rsidP="00355605">
            <w:pPr>
              <w:spacing w:after="0" w:line="240" w:lineRule="auto"/>
              <w:jc w:val="center"/>
              <w:rPr>
                <w:rFonts w:ascii="Garamond" w:eastAsia="Times New Roman" w:hAnsi="Garamond" w:cs="Calibri"/>
                <w:color w:val="000000"/>
                <w:sz w:val="18"/>
                <w:szCs w:val="18"/>
                <w:highlight w:val="yellow"/>
              </w:rPr>
            </w:pPr>
            <w:r w:rsidRPr="00C85265">
              <w:rPr>
                <w:rFonts w:ascii="Garamond" w:eastAsia="Times New Roman" w:hAnsi="Garamond" w:cs="Calibri"/>
                <w:color w:val="000000"/>
                <w:sz w:val="18"/>
                <w:szCs w:val="18"/>
                <w:highlight w:val="yellow"/>
              </w:rPr>
              <w:t>12</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10F3921C" w14:textId="0452F067" w:rsidR="00355605" w:rsidRPr="00C85265" w:rsidRDefault="00355605" w:rsidP="00355605">
            <w:pPr>
              <w:spacing w:after="0" w:line="240" w:lineRule="auto"/>
              <w:jc w:val="center"/>
              <w:rPr>
                <w:rFonts w:ascii="Garamond" w:eastAsia="Times New Roman" w:hAnsi="Garamond" w:cs="Calibri"/>
                <w:color w:val="000000"/>
                <w:sz w:val="18"/>
                <w:szCs w:val="18"/>
                <w:highlight w:val="yellow"/>
              </w:rPr>
            </w:pPr>
            <w:r w:rsidRPr="00C85265">
              <w:rPr>
                <w:rFonts w:ascii="Garamond" w:eastAsia="Times New Roman" w:hAnsi="Garamond" w:cs="Calibri"/>
                <w:color w:val="000000"/>
                <w:sz w:val="18"/>
                <w:szCs w:val="18"/>
                <w:highlight w:val="yellow"/>
              </w:rPr>
              <w:t>April 24</w:t>
            </w:r>
          </w:p>
        </w:tc>
        <w:tc>
          <w:tcPr>
            <w:tcW w:w="3909"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6B38F8F0" w14:textId="1B185F6D" w:rsidR="00355605" w:rsidRPr="00C85265" w:rsidRDefault="00C22B54" w:rsidP="00355605">
            <w:pPr>
              <w:spacing w:after="0" w:line="240" w:lineRule="auto"/>
              <w:rPr>
                <w:rFonts w:ascii="Garamond" w:eastAsia="Times New Roman" w:hAnsi="Garamond" w:cs="Calibri"/>
                <w:color w:val="000000"/>
                <w:sz w:val="18"/>
                <w:szCs w:val="18"/>
                <w:highlight w:val="yellow"/>
              </w:rPr>
            </w:pPr>
            <w:r w:rsidRPr="00C85265">
              <w:rPr>
                <w:rFonts w:ascii="Garamond" w:eastAsia="Times New Roman" w:hAnsi="Garamond" w:cs="Calibri"/>
                <w:color w:val="000000"/>
                <w:sz w:val="18"/>
                <w:szCs w:val="18"/>
                <w:highlight w:val="yellow"/>
              </w:rPr>
              <w:t xml:space="preserve">Present PS 3: </w:t>
            </w:r>
            <w:r w:rsidR="00355605" w:rsidRPr="00C85265">
              <w:rPr>
                <w:rFonts w:ascii="Garamond" w:eastAsia="Times New Roman" w:hAnsi="Garamond" w:cs="Calibri"/>
                <w:color w:val="000000"/>
                <w:sz w:val="18"/>
                <w:szCs w:val="18"/>
                <w:highlight w:val="yellow"/>
              </w:rPr>
              <w:t xml:space="preserve">Replication 3: </w:t>
            </w:r>
            <w:r w:rsidR="00931A42" w:rsidRPr="00C85265">
              <w:rPr>
                <w:rFonts w:ascii="Garamond" w:eastAsia="Times New Roman" w:hAnsi="Garamond" w:cs="Calibri"/>
                <w:color w:val="000000"/>
                <w:sz w:val="18"/>
                <w:szCs w:val="18"/>
                <w:highlight w:val="yellow"/>
              </w:rPr>
              <w:t>DID Treatment Effect Heterogeneity Robust and Honest DID (“presentation session”)</w:t>
            </w:r>
          </w:p>
        </w:tc>
        <w:tc>
          <w:tcPr>
            <w:tcW w:w="8549"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036B8ECE" w14:textId="74EBF2B5" w:rsidR="00355605" w:rsidRPr="00C85265" w:rsidRDefault="00355605" w:rsidP="00355605">
            <w:pPr>
              <w:spacing w:after="0" w:line="240" w:lineRule="auto"/>
              <w:rPr>
                <w:rFonts w:ascii="Garamond" w:eastAsia="Times New Roman" w:hAnsi="Garamond" w:cs="Calibri"/>
                <w:i/>
                <w:iCs/>
                <w:color w:val="000000"/>
                <w:sz w:val="18"/>
                <w:szCs w:val="18"/>
                <w:highlight w:val="yellow"/>
              </w:rPr>
            </w:pPr>
          </w:p>
        </w:tc>
      </w:tr>
      <w:tr w:rsidR="00CA2626" w:rsidRPr="006F5C0E" w14:paraId="31FA64A3" w14:textId="77777777" w:rsidTr="00C85265">
        <w:trPr>
          <w:trHeight w:val="1440"/>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0E4C1" w14:textId="77777777" w:rsidR="00CA2626" w:rsidRPr="00C85265" w:rsidRDefault="00CA2626" w:rsidP="00CA2626">
            <w:pPr>
              <w:spacing w:after="0" w:line="240" w:lineRule="auto"/>
              <w:jc w:val="center"/>
              <w:rPr>
                <w:rFonts w:ascii="Garamond" w:eastAsia="Times New Roman" w:hAnsi="Garamond" w:cs="Calibri"/>
                <w:color w:val="000000"/>
                <w:sz w:val="18"/>
                <w:szCs w:val="18"/>
                <w:highlight w:val="yellow"/>
              </w:rPr>
            </w:pPr>
            <w:r w:rsidRPr="00C85265">
              <w:rPr>
                <w:rFonts w:ascii="Garamond" w:eastAsia="Times New Roman" w:hAnsi="Garamond" w:cs="Calibri"/>
                <w:color w:val="000000"/>
                <w:sz w:val="18"/>
                <w:szCs w:val="18"/>
                <w:highlight w:val="yellow"/>
              </w:rPr>
              <w:t>13</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1204C27E" w14:textId="1ACAF833" w:rsidR="00CA2626" w:rsidRPr="00C85265" w:rsidRDefault="00CA2626" w:rsidP="00CA2626">
            <w:pPr>
              <w:spacing w:after="0" w:line="240" w:lineRule="auto"/>
              <w:jc w:val="center"/>
              <w:rPr>
                <w:rFonts w:ascii="Garamond" w:eastAsia="Times New Roman" w:hAnsi="Garamond" w:cs="Calibri"/>
                <w:color w:val="000000"/>
                <w:sz w:val="18"/>
                <w:szCs w:val="18"/>
                <w:highlight w:val="yellow"/>
              </w:rPr>
            </w:pPr>
            <w:r w:rsidRPr="00C85265">
              <w:rPr>
                <w:rFonts w:ascii="Garamond" w:eastAsia="Times New Roman" w:hAnsi="Garamond" w:cs="Calibri"/>
                <w:color w:val="000000"/>
                <w:sz w:val="18"/>
                <w:szCs w:val="18"/>
                <w:highlight w:val="yellow"/>
              </w:rPr>
              <w:t>May 1</w:t>
            </w:r>
          </w:p>
        </w:tc>
        <w:tc>
          <w:tcPr>
            <w:tcW w:w="3909"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BA61159" w14:textId="384020D2" w:rsidR="00CA2626" w:rsidRPr="00C85265" w:rsidRDefault="00C22B54" w:rsidP="00CA2626">
            <w:pPr>
              <w:spacing w:after="0" w:line="240" w:lineRule="auto"/>
              <w:rPr>
                <w:rFonts w:ascii="Garamond" w:eastAsia="Times New Roman" w:hAnsi="Garamond" w:cs="Calibri"/>
                <w:color w:val="000000"/>
                <w:sz w:val="18"/>
                <w:szCs w:val="18"/>
                <w:highlight w:val="yellow"/>
              </w:rPr>
            </w:pPr>
            <w:r w:rsidRPr="00C85265">
              <w:rPr>
                <w:rFonts w:ascii="Garamond" w:eastAsia="Times New Roman" w:hAnsi="Garamond" w:cs="Calibri"/>
                <w:color w:val="000000"/>
                <w:sz w:val="18"/>
                <w:szCs w:val="18"/>
                <w:highlight w:val="yellow"/>
              </w:rPr>
              <w:t xml:space="preserve">Distribute PS 4: </w:t>
            </w:r>
            <w:r w:rsidR="006E7710" w:rsidRPr="00C85265">
              <w:rPr>
                <w:rFonts w:ascii="Garamond" w:eastAsia="Times New Roman" w:hAnsi="Garamond" w:cs="Calibri"/>
                <w:color w:val="000000"/>
                <w:sz w:val="18"/>
                <w:szCs w:val="18"/>
                <w:highlight w:val="yellow"/>
              </w:rPr>
              <w:t xml:space="preserve">Treatment Effect Heterogeneity Bias and Honest DID </w:t>
            </w:r>
          </w:p>
        </w:tc>
        <w:tc>
          <w:tcPr>
            <w:tcW w:w="8549"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F9845CD" w14:textId="77777777" w:rsidR="00931A42" w:rsidRPr="00C85265" w:rsidRDefault="00931A42" w:rsidP="00931A42">
            <w:pPr>
              <w:spacing w:after="0" w:line="240" w:lineRule="auto"/>
              <w:rPr>
                <w:rFonts w:ascii="Garamond" w:eastAsia="Times New Roman" w:hAnsi="Garamond" w:cs="Calibri"/>
                <w:color w:val="000000"/>
                <w:sz w:val="18"/>
                <w:szCs w:val="18"/>
                <w:highlight w:val="yellow"/>
              </w:rPr>
            </w:pPr>
            <w:r w:rsidRPr="00C85265">
              <w:rPr>
                <w:rFonts w:ascii="Garamond" w:eastAsia="Times New Roman" w:hAnsi="Garamond" w:cs="Calibri"/>
                <w:b/>
                <w:color w:val="000000"/>
                <w:sz w:val="18"/>
                <w:szCs w:val="18"/>
                <w:highlight w:val="yellow"/>
              </w:rPr>
              <w:t>Required:</w:t>
            </w:r>
          </w:p>
          <w:p w14:paraId="0FBAB4D9" w14:textId="77777777" w:rsidR="00931A42" w:rsidRPr="00C85265" w:rsidRDefault="00931A42" w:rsidP="00931A42">
            <w:pPr>
              <w:spacing w:after="0" w:line="240" w:lineRule="auto"/>
              <w:rPr>
                <w:rFonts w:ascii="Garamond" w:eastAsia="Times New Roman" w:hAnsi="Garamond" w:cs="Calibri"/>
                <w:color w:val="000000"/>
                <w:sz w:val="18"/>
                <w:szCs w:val="18"/>
                <w:highlight w:val="yellow"/>
              </w:rPr>
            </w:pPr>
            <w:r w:rsidRPr="00C85265">
              <w:rPr>
                <w:rFonts w:ascii="Garamond" w:eastAsia="Times New Roman" w:hAnsi="Garamond" w:cs="Calibri"/>
                <w:i/>
                <w:iCs/>
                <w:color w:val="000000"/>
                <w:sz w:val="18"/>
                <w:szCs w:val="18"/>
                <w:highlight w:val="yellow"/>
              </w:rPr>
              <w:t xml:space="preserve">Mixtape, </w:t>
            </w:r>
            <w:r w:rsidRPr="00C85265">
              <w:rPr>
                <w:rFonts w:ascii="Garamond" w:eastAsia="Times New Roman" w:hAnsi="Garamond" w:cs="Calibri"/>
                <w:color w:val="000000"/>
                <w:sz w:val="18"/>
                <w:szCs w:val="18"/>
                <w:highlight w:val="yellow"/>
              </w:rPr>
              <w:t xml:space="preserve">chapter 10. Ben-Michael, Eli, Avi Feller, and Jesse Rothstein. "The Augmented Synthetic Control Method." arXiv preprint arXiv:1811.04170 (2018); Arkhangelsky, Dmitry, et al. Synthetic difference in differences. No. w25532. National Bureau of Economic Research, 2021; </w:t>
            </w:r>
          </w:p>
          <w:p w14:paraId="08B8A78D" w14:textId="77777777" w:rsidR="00931A42" w:rsidRPr="00C85265" w:rsidRDefault="00931A42" w:rsidP="00931A42">
            <w:pPr>
              <w:spacing w:after="0" w:line="240" w:lineRule="auto"/>
              <w:rPr>
                <w:rFonts w:ascii="Garamond" w:eastAsia="Times New Roman" w:hAnsi="Garamond" w:cs="Calibri"/>
                <w:color w:val="000000"/>
                <w:sz w:val="18"/>
                <w:szCs w:val="18"/>
                <w:highlight w:val="yellow"/>
              </w:rPr>
            </w:pPr>
            <w:r w:rsidRPr="00C85265">
              <w:rPr>
                <w:rFonts w:ascii="Garamond" w:eastAsia="Times New Roman" w:hAnsi="Garamond" w:cs="Calibri"/>
                <w:b/>
                <w:color w:val="000000"/>
                <w:sz w:val="18"/>
                <w:szCs w:val="18"/>
                <w:highlight w:val="yellow"/>
              </w:rPr>
              <w:t>Supplemental:</w:t>
            </w:r>
            <w:r w:rsidRPr="00C85265">
              <w:rPr>
                <w:rFonts w:ascii="Garamond" w:eastAsia="Times New Roman" w:hAnsi="Garamond" w:cs="Calibri"/>
                <w:color w:val="000000"/>
                <w:sz w:val="18"/>
                <w:szCs w:val="18"/>
                <w:highlight w:val="yellow"/>
              </w:rPr>
              <w:t xml:space="preserve"> </w:t>
            </w:r>
          </w:p>
          <w:p w14:paraId="04A11049" w14:textId="2F0080F9" w:rsidR="00CA2626" w:rsidRPr="00C85265" w:rsidRDefault="00931A42" w:rsidP="00931A42">
            <w:pPr>
              <w:spacing w:after="0" w:line="240" w:lineRule="auto"/>
              <w:rPr>
                <w:rFonts w:ascii="Garamond" w:eastAsia="Times New Roman" w:hAnsi="Garamond" w:cs="Calibri"/>
                <w:color w:val="000000"/>
                <w:sz w:val="18"/>
                <w:szCs w:val="18"/>
                <w:highlight w:val="yellow"/>
              </w:rPr>
            </w:pPr>
            <w:r w:rsidRPr="00C85265">
              <w:rPr>
                <w:rFonts w:ascii="Garamond" w:eastAsia="Times New Roman" w:hAnsi="Garamond" w:cs="Calibri"/>
                <w:color w:val="000000"/>
                <w:sz w:val="18"/>
                <w:szCs w:val="18"/>
                <w:highlight w:val="yellow"/>
              </w:rPr>
              <w:t>Abadie, Alberto, Alexis Diamond, and Jens Hainmueller. "Comparative politics and the synthetic control method." American Journal of Political Science 59, no. 2 (2015): 495-510.</w:t>
            </w:r>
          </w:p>
        </w:tc>
      </w:tr>
      <w:tr w:rsidR="00931A42" w:rsidRPr="006F5C0E" w14:paraId="021FAFBD" w14:textId="77777777" w:rsidTr="00C85265">
        <w:trPr>
          <w:trHeight w:val="1440"/>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A41C1C" w14:textId="3FDA9C09" w:rsidR="00931A42" w:rsidRPr="00C85265" w:rsidRDefault="00931A42" w:rsidP="00931A42">
            <w:pPr>
              <w:spacing w:after="0" w:line="240" w:lineRule="auto"/>
              <w:jc w:val="center"/>
              <w:rPr>
                <w:rFonts w:ascii="Garamond" w:eastAsia="Times New Roman" w:hAnsi="Garamond" w:cs="Calibri"/>
                <w:color w:val="000000"/>
                <w:sz w:val="18"/>
                <w:szCs w:val="18"/>
                <w:highlight w:val="yellow"/>
              </w:rPr>
            </w:pPr>
            <w:r w:rsidRPr="00C85265">
              <w:rPr>
                <w:rFonts w:ascii="Garamond" w:eastAsia="Times New Roman" w:hAnsi="Garamond" w:cs="Calibri"/>
                <w:color w:val="000000"/>
                <w:sz w:val="18"/>
                <w:szCs w:val="18"/>
                <w:highlight w:val="yellow"/>
              </w:rPr>
              <w:t>14 </w:t>
            </w:r>
          </w:p>
        </w:tc>
        <w:tc>
          <w:tcPr>
            <w:tcW w:w="1068" w:type="dxa"/>
            <w:tcBorders>
              <w:top w:val="single" w:sz="4" w:space="0" w:color="auto"/>
              <w:left w:val="nil"/>
              <w:bottom w:val="single" w:sz="4" w:space="0" w:color="auto"/>
              <w:right w:val="single" w:sz="4" w:space="0" w:color="auto"/>
            </w:tcBorders>
            <w:shd w:val="clear" w:color="auto" w:fill="auto"/>
            <w:noWrap/>
            <w:vAlign w:val="center"/>
          </w:tcPr>
          <w:p w14:paraId="63D73F6D" w14:textId="58D3817C" w:rsidR="00931A42" w:rsidRPr="00C85265" w:rsidRDefault="00931A42" w:rsidP="00931A42">
            <w:pPr>
              <w:spacing w:after="0" w:line="240" w:lineRule="auto"/>
              <w:jc w:val="center"/>
              <w:rPr>
                <w:rFonts w:ascii="Garamond" w:eastAsia="Times New Roman" w:hAnsi="Garamond" w:cs="Calibri"/>
                <w:color w:val="000000"/>
                <w:sz w:val="18"/>
                <w:szCs w:val="18"/>
                <w:highlight w:val="yellow"/>
              </w:rPr>
            </w:pPr>
            <w:r w:rsidRPr="00C85265">
              <w:rPr>
                <w:rFonts w:ascii="Garamond" w:eastAsia="Times New Roman" w:hAnsi="Garamond" w:cs="Calibri"/>
                <w:color w:val="000000"/>
                <w:sz w:val="18"/>
                <w:szCs w:val="18"/>
                <w:highlight w:val="yellow"/>
              </w:rPr>
              <w:t>May 8</w:t>
            </w:r>
          </w:p>
        </w:tc>
        <w:tc>
          <w:tcPr>
            <w:tcW w:w="3909" w:type="dxa"/>
            <w:tcBorders>
              <w:top w:val="single" w:sz="4" w:space="0" w:color="auto"/>
              <w:left w:val="nil"/>
              <w:bottom w:val="single" w:sz="4" w:space="0" w:color="auto"/>
              <w:right w:val="single" w:sz="4" w:space="0" w:color="auto"/>
            </w:tcBorders>
            <w:shd w:val="clear" w:color="auto" w:fill="auto"/>
            <w:vAlign w:val="center"/>
          </w:tcPr>
          <w:p w14:paraId="53A92FF5" w14:textId="6011E81B" w:rsidR="00931A42" w:rsidRPr="00C85265" w:rsidRDefault="00D446F1" w:rsidP="00931A42">
            <w:pPr>
              <w:spacing w:after="0" w:line="240" w:lineRule="auto"/>
              <w:rPr>
                <w:rFonts w:ascii="Garamond" w:eastAsia="Times New Roman" w:hAnsi="Garamond" w:cs="Calibri"/>
                <w:color w:val="000000"/>
                <w:sz w:val="18"/>
                <w:szCs w:val="18"/>
                <w:highlight w:val="yellow"/>
              </w:rPr>
            </w:pPr>
            <w:r w:rsidRPr="00C85265">
              <w:rPr>
                <w:rFonts w:ascii="Garamond" w:eastAsia="Times New Roman" w:hAnsi="Garamond" w:cs="Calibri"/>
                <w:color w:val="000000"/>
                <w:sz w:val="18"/>
                <w:szCs w:val="18"/>
                <w:highlight w:val="yellow"/>
              </w:rPr>
              <w:t xml:space="preserve">Finish DID </w:t>
            </w:r>
          </w:p>
        </w:tc>
        <w:tc>
          <w:tcPr>
            <w:tcW w:w="8549" w:type="dxa"/>
            <w:tcBorders>
              <w:top w:val="single" w:sz="4" w:space="0" w:color="auto"/>
              <w:left w:val="nil"/>
              <w:bottom w:val="single" w:sz="4" w:space="0" w:color="auto"/>
              <w:right w:val="single" w:sz="4" w:space="0" w:color="auto"/>
            </w:tcBorders>
            <w:shd w:val="clear" w:color="auto" w:fill="auto"/>
            <w:vAlign w:val="center"/>
          </w:tcPr>
          <w:p w14:paraId="1CA1B168" w14:textId="0856D7A4" w:rsidR="002015F1" w:rsidRPr="00C85265" w:rsidRDefault="00D446F1" w:rsidP="00840516">
            <w:pPr>
              <w:spacing w:after="0" w:line="240" w:lineRule="auto"/>
              <w:rPr>
                <w:rFonts w:ascii="Garamond" w:eastAsia="Times New Roman" w:hAnsi="Garamond" w:cs="Calibri"/>
                <w:iCs/>
                <w:color w:val="000000"/>
                <w:sz w:val="18"/>
                <w:szCs w:val="18"/>
                <w:highlight w:val="yellow"/>
              </w:rPr>
            </w:pPr>
            <w:r w:rsidRPr="00C85265">
              <w:rPr>
                <w:rFonts w:ascii="Garamond" w:eastAsia="Times New Roman" w:hAnsi="Garamond" w:cs="Calibri"/>
                <w:iCs/>
                <w:color w:val="000000"/>
                <w:sz w:val="18"/>
                <w:szCs w:val="18"/>
                <w:highlight w:val="yellow"/>
              </w:rPr>
              <w:t xml:space="preserve">Working day in class </w:t>
            </w:r>
          </w:p>
        </w:tc>
      </w:tr>
      <w:tr w:rsidR="00931A42" w:rsidRPr="006F5C0E" w14:paraId="0E32342B" w14:textId="77777777" w:rsidTr="00C85265">
        <w:trPr>
          <w:trHeight w:val="530"/>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060BB" w14:textId="75BEB0CD" w:rsidR="00931A42" w:rsidRPr="006F5C0E" w:rsidRDefault="00931A42" w:rsidP="00931A42">
            <w:pPr>
              <w:spacing w:after="0" w:line="240" w:lineRule="auto"/>
              <w:jc w:val="center"/>
              <w:rPr>
                <w:rFonts w:ascii="Garamond" w:eastAsia="Times New Roman" w:hAnsi="Garamond" w:cs="Calibri"/>
                <w:color w:val="000000"/>
                <w:sz w:val="18"/>
                <w:szCs w:val="18"/>
              </w:rPr>
            </w:pPr>
            <w:r w:rsidRPr="006F5C0E">
              <w:rPr>
                <w:rFonts w:ascii="Garamond" w:eastAsia="Times New Roman" w:hAnsi="Garamond" w:cs="Calibri"/>
                <w:color w:val="000000"/>
                <w:sz w:val="18"/>
                <w:szCs w:val="18"/>
              </w:rPr>
              <w:t>1</w:t>
            </w:r>
            <w:r>
              <w:rPr>
                <w:rFonts w:ascii="Garamond" w:eastAsia="Times New Roman" w:hAnsi="Garamond" w:cs="Calibri"/>
                <w:color w:val="000000"/>
                <w:sz w:val="18"/>
                <w:szCs w:val="18"/>
              </w:rPr>
              <w:t>5</w:t>
            </w:r>
          </w:p>
        </w:tc>
        <w:tc>
          <w:tcPr>
            <w:tcW w:w="1068" w:type="dxa"/>
            <w:tcBorders>
              <w:top w:val="single" w:sz="4" w:space="0" w:color="auto"/>
              <w:left w:val="nil"/>
              <w:bottom w:val="single" w:sz="4" w:space="0" w:color="auto"/>
              <w:right w:val="single" w:sz="4" w:space="0" w:color="auto"/>
            </w:tcBorders>
            <w:shd w:val="clear" w:color="auto" w:fill="auto"/>
            <w:noWrap/>
            <w:vAlign w:val="center"/>
          </w:tcPr>
          <w:p w14:paraId="1F5BB788" w14:textId="6BFF8C83" w:rsidR="00931A42" w:rsidRDefault="00931A42" w:rsidP="00931A42">
            <w:pPr>
              <w:spacing w:after="0" w:line="240" w:lineRule="auto"/>
              <w:jc w:val="center"/>
              <w:rPr>
                <w:rFonts w:ascii="Garamond" w:eastAsia="Times New Roman" w:hAnsi="Garamond" w:cs="Calibri"/>
                <w:color w:val="000000"/>
                <w:sz w:val="18"/>
                <w:szCs w:val="18"/>
              </w:rPr>
            </w:pPr>
            <w:r>
              <w:rPr>
                <w:rFonts w:ascii="Garamond" w:eastAsia="Times New Roman" w:hAnsi="Garamond" w:cs="Calibri"/>
                <w:color w:val="000000"/>
                <w:sz w:val="18"/>
                <w:szCs w:val="18"/>
              </w:rPr>
              <w:t>May 15</w:t>
            </w:r>
          </w:p>
        </w:tc>
        <w:tc>
          <w:tcPr>
            <w:tcW w:w="3909" w:type="dxa"/>
            <w:tcBorders>
              <w:top w:val="single" w:sz="4" w:space="0" w:color="auto"/>
              <w:left w:val="nil"/>
              <w:bottom w:val="single" w:sz="4" w:space="0" w:color="auto"/>
              <w:right w:val="single" w:sz="4" w:space="0" w:color="auto"/>
            </w:tcBorders>
            <w:shd w:val="clear" w:color="auto" w:fill="E7E6E6" w:themeFill="background2"/>
            <w:vAlign w:val="center"/>
          </w:tcPr>
          <w:p w14:paraId="1C9CAED4" w14:textId="681F0D0B" w:rsidR="00931A42" w:rsidRPr="006F5C0E" w:rsidRDefault="00C22B54" w:rsidP="00931A42">
            <w:pPr>
              <w:spacing w:after="0" w:line="240" w:lineRule="auto"/>
              <w:rPr>
                <w:rFonts w:ascii="Garamond" w:eastAsia="Times New Roman" w:hAnsi="Garamond" w:cs="Calibri"/>
                <w:color w:val="000000"/>
                <w:sz w:val="18"/>
                <w:szCs w:val="18"/>
              </w:rPr>
            </w:pPr>
            <w:r>
              <w:rPr>
                <w:rFonts w:ascii="Garamond" w:eastAsia="Times New Roman" w:hAnsi="Garamond" w:cs="Calibri"/>
                <w:color w:val="000000"/>
                <w:sz w:val="18"/>
                <w:szCs w:val="18"/>
              </w:rPr>
              <w:t xml:space="preserve">Present PS 4: </w:t>
            </w:r>
            <w:r w:rsidR="00931A42">
              <w:rPr>
                <w:rFonts w:ascii="Garamond" w:eastAsia="Times New Roman" w:hAnsi="Garamond" w:cs="Calibri"/>
                <w:color w:val="000000"/>
                <w:sz w:val="18"/>
                <w:szCs w:val="18"/>
              </w:rPr>
              <w:t xml:space="preserve">Replication 4: </w:t>
            </w:r>
            <w:r w:rsidR="00366C7D">
              <w:rPr>
                <w:rFonts w:ascii="Garamond" w:eastAsia="Times New Roman" w:hAnsi="Garamond" w:cs="Calibri"/>
                <w:color w:val="000000"/>
                <w:sz w:val="18"/>
                <w:szCs w:val="18"/>
              </w:rPr>
              <w:t xml:space="preserve">SCM/ASCM </w:t>
            </w:r>
            <w:r w:rsidR="00931A42" w:rsidRPr="00B8610E">
              <w:rPr>
                <w:rFonts w:ascii="Garamond" w:eastAsia="Times New Roman" w:hAnsi="Garamond" w:cs="Calibri"/>
                <w:color w:val="000000"/>
                <w:sz w:val="18"/>
                <w:szCs w:val="18"/>
              </w:rPr>
              <w:t>(“presentation session”)</w:t>
            </w:r>
          </w:p>
        </w:tc>
        <w:tc>
          <w:tcPr>
            <w:tcW w:w="8549" w:type="dxa"/>
            <w:tcBorders>
              <w:top w:val="single" w:sz="4" w:space="0" w:color="auto"/>
              <w:left w:val="nil"/>
              <w:bottom w:val="single" w:sz="4" w:space="0" w:color="auto"/>
              <w:right w:val="single" w:sz="4" w:space="0" w:color="auto"/>
            </w:tcBorders>
            <w:shd w:val="clear" w:color="auto" w:fill="E7E6E6" w:themeFill="background2"/>
            <w:vAlign w:val="center"/>
          </w:tcPr>
          <w:p w14:paraId="41EBCD5D" w14:textId="77777777" w:rsidR="00931A42" w:rsidRPr="00054AB7" w:rsidRDefault="00931A42" w:rsidP="00931A42">
            <w:pPr>
              <w:spacing w:after="0" w:line="240" w:lineRule="auto"/>
              <w:rPr>
                <w:rFonts w:ascii="Garamond" w:eastAsia="Times New Roman" w:hAnsi="Garamond" w:cs="Calibri"/>
                <w:b/>
                <w:iCs/>
                <w:color w:val="000000"/>
                <w:sz w:val="18"/>
                <w:szCs w:val="18"/>
              </w:rPr>
            </w:pPr>
          </w:p>
        </w:tc>
      </w:tr>
      <w:tr w:rsidR="00931A42" w:rsidRPr="006F5C0E" w14:paraId="40D8F265" w14:textId="77777777" w:rsidTr="00ED0ED6">
        <w:trPr>
          <w:trHeight w:val="1440"/>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C79D7" w14:textId="7A4E2F92" w:rsidR="00931A42" w:rsidRPr="006F5C0E" w:rsidRDefault="00931A42" w:rsidP="00931A42">
            <w:pPr>
              <w:spacing w:after="0" w:line="240" w:lineRule="auto"/>
              <w:jc w:val="center"/>
              <w:rPr>
                <w:rFonts w:ascii="Garamond" w:eastAsia="Times New Roman" w:hAnsi="Garamond" w:cs="Calibri"/>
                <w:color w:val="000000"/>
                <w:sz w:val="18"/>
                <w:szCs w:val="18"/>
              </w:rPr>
            </w:pPr>
            <w:r>
              <w:rPr>
                <w:rFonts w:ascii="Garamond" w:eastAsia="Times New Roman" w:hAnsi="Garamond" w:cs="Calibri"/>
                <w:color w:val="000000"/>
                <w:sz w:val="18"/>
                <w:szCs w:val="18"/>
              </w:rPr>
              <w:t>Imaginary Time</w:t>
            </w:r>
          </w:p>
        </w:tc>
        <w:tc>
          <w:tcPr>
            <w:tcW w:w="1068" w:type="dxa"/>
            <w:tcBorders>
              <w:top w:val="single" w:sz="4" w:space="0" w:color="auto"/>
              <w:left w:val="nil"/>
              <w:bottom w:val="single" w:sz="4" w:space="0" w:color="auto"/>
              <w:right w:val="single" w:sz="4" w:space="0" w:color="auto"/>
            </w:tcBorders>
            <w:shd w:val="clear" w:color="auto" w:fill="auto"/>
            <w:noWrap/>
            <w:vAlign w:val="center"/>
          </w:tcPr>
          <w:p w14:paraId="043B2837" w14:textId="2483DB4B" w:rsidR="00931A42" w:rsidRDefault="00931A42" w:rsidP="00931A42">
            <w:pPr>
              <w:spacing w:after="0" w:line="240" w:lineRule="auto"/>
              <w:jc w:val="center"/>
              <w:rPr>
                <w:rFonts w:ascii="Garamond" w:eastAsia="Times New Roman" w:hAnsi="Garamond" w:cs="Calibri"/>
                <w:color w:val="000000"/>
                <w:sz w:val="18"/>
                <w:szCs w:val="18"/>
              </w:rPr>
            </w:pPr>
            <w:r>
              <w:rPr>
                <w:rFonts w:ascii="Garamond" w:eastAsia="Times New Roman" w:hAnsi="Garamond" w:cs="Calibri"/>
                <w:color w:val="000000"/>
                <w:sz w:val="18"/>
                <w:szCs w:val="18"/>
              </w:rPr>
              <w:t>Imaginary Time</w:t>
            </w:r>
          </w:p>
        </w:tc>
        <w:tc>
          <w:tcPr>
            <w:tcW w:w="3909" w:type="dxa"/>
            <w:tcBorders>
              <w:top w:val="single" w:sz="4" w:space="0" w:color="auto"/>
              <w:left w:val="nil"/>
              <w:bottom w:val="single" w:sz="4" w:space="0" w:color="auto"/>
              <w:right w:val="single" w:sz="4" w:space="0" w:color="auto"/>
            </w:tcBorders>
            <w:shd w:val="clear" w:color="auto" w:fill="auto"/>
            <w:vAlign w:val="center"/>
          </w:tcPr>
          <w:p w14:paraId="6C828A3D" w14:textId="71808B68" w:rsidR="00931A42" w:rsidRDefault="00931A42" w:rsidP="00931A42">
            <w:pPr>
              <w:spacing w:after="0" w:line="240" w:lineRule="auto"/>
              <w:rPr>
                <w:rFonts w:ascii="Garamond" w:eastAsia="Times New Roman" w:hAnsi="Garamond" w:cs="Calibri"/>
                <w:color w:val="000000"/>
                <w:sz w:val="18"/>
                <w:szCs w:val="18"/>
              </w:rPr>
            </w:pPr>
            <w:r w:rsidRPr="006F5C0E">
              <w:rPr>
                <w:rFonts w:ascii="Garamond" w:eastAsia="Times New Roman" w:hAnsi="Garamond" w:cs="Calibri"/>
                <w:color w:val="000000"/>
                <w:sz w:val="18"/>
                <w:szCs w:val="18"/>
              </w:rPr>
              <w:t>Moderators, mediators, and causal explanations</w:t>
            </w:r>
          </w:p>
        </w:tc>
        <w:tc>
          <w:tcPr>
            <w:tcW w:w="8549" w:type="dxa"/>
            <w:tcBorders>
              <w:top w:val="single" w:sz="4" w:space="0" w:color="auto"/>
              <w:left w:val="nil"/>
              <w:bottom w:val="single" w:sz="4" w:space="0" w:color="auto"/>
              <w:right w:val="single" w:sz="4" w:space="0" w:color="auto"/>
            </w:tcBorders>
            <w:shd w:val="clear" w:color="auto" w:fill="auto"/>
            <w:vAlign w:val="center"/>
          </w:tcPr>
          <w:p w14:paraId="6B7119B4" w14:textId="77777777" w:rsidR="00931A42" w:rsidRDefault="00931A42" w:rsidP="00931A42">
            <w:pPr>
              <w:spacing w:after="0" w:line="240" w:lineRule="auto"/>
              <w:rPr>
                <w:rFonts w:ascii="Garamond" w:eastAsia="Times New Roman" w:hAnsi="Garamond" w:cs="Calibri"/>
                <w:b/>
                <w:color w:val="000000"/>
                <w:sz w:val="18"/>
                <w:szCs w:val="18"/>
              </w:rPr>
            </w:pPr>
            <w:r>
              <w:rPr>
                <w:rFonts w:ascii="Garamond" w:eastAsia="Times New Roman" w:hAnsi="Garamond" w:cs="Calibri"/>
                <w:b/>
                <w:color w:val="000000"/>
                <w:sz w:val="18"/>
                <w:szCs w:val="18"/>
              </w:rPr>
              <w:t>Required:</w:t>
            </w:r>
          </w:p>
          <w:p w14:paraId="6CF3F138" w14:textId="77777777" w:rsidR="00931A42" w:rsidRDefault="00931A42" w:rsidP="00931A42">
            <w:pPr>
              <w:spacing w:after="0" w:line="240" w:lineRule="auto"/>
              <w:rPr>
                <w:rFonts w:ascii="Garamond" w:eastAsia="Times New Roman" w:hAnsi="Garamond" w:cs="Calibri"/>
                <w:color w:val="000000"/>
                <w:sz w:val="18"/>
                <w:szCs w:val="18"/>
              </w:rPr>
            </w:pPr>
            <w:r w:rsidRPr="006F7DF5">
              <w:rPr>
                <w:rFonts w:ascii="Garamond" w:eastAsia="Times New Roman" w:hAnsi="Garamond" w:cs="Calibri"/>
                <w:color w:val="000000"/>
                <w:sz w:val="18"/>
                <w:szCs w:val="18"/>
              </w:rPr>
              <w:t xml:space="preserve">MacKinnon, D. P., Fairchild, A. J., &amp; Fritz, M. S. (2007). Mediation analysis. Annu. Rev. Psychol., 58, 593-614. </w:t>
            </w:r>
          </w:p>
          <w:p w14:paraId="6579E1A9" w14:textId="77777777" w:rsidR="00931A42" w:rsidRDefault="00931A42" w:rsidP="00931A42">
            <w:pPr>
              <w:spacing w:after="0" w:line="240" w:lineRule="auto"/>
              <w:rPr>
                <w:rFonts w:ascii="Garamond" w:eastAsia="Times New Roman" w:hAnsi="Garamond" w:cs="Calibri"/>
                <w:color w:val="000000"/>
                <w:sz w:val="18"/>
                <w:szCs w:val="18"/>
              </w:rPr>
            </w:pPr>
            <w:r w:rsidRPr="006F7DF5">
              <w:rPr>
                <w:rFonts w:ascii="Garamond" w:eastAsia="Times New Roman" w:hAnsi="Garamond" w:cs="Calibri"/>
                <w:b/>
                <w:color w:val="000000"/>
                <w:sz w:val="18"/>
                <w:szCs w:val="18"/>
              </w:rPr>
              <w:t>Supplemental:</w:t>
            </w:r>
          </w:p>
          <w:p w14:paraId="66FE3234" w14:textId="0FD2F507" w:rsidR="00931A42" w:rsidRPr="00054AB7" w:rsidRDefault="00931A42" w:rsidP="00931A42">
            <w:pPr>
              <w:spacing w:after="0" w:line="240" w:lineRule="auto"/>
              <w:rPr>
                <w:rFonts w:ascii="Garamond" w:eastAsia="Times New Roman" w:hAnsi="Garamond" w:cs="Calibri"/>
                <w:b/>
                <w:iCs/>
                <w:color w:val="000000"/>
                <w:sz w:val="18"/>
                <w:szCs w:val="18"/>
              </w:rPr>
            </w:pPr>
            <w:r w:rsidRPr="00A93CD4">
              <w:rPr>
                <w:rFonts w:ascii="Garamond" w:eastAsia="Times New Roman" w:hAnsi="Garamond" w:cs="Calibri"/>
                <w:color w:val="000000"/>
                <w:sz w:val="18"/>
                <w:szCs w:val="18"/>
              </w:rPr>
              <w:t>VanderWeele, T. J., &amp; Vansteelandt, S. (2009). Conceptual issues concerning mediation, interventions and composition. Statistics a</w:t>
            </w:r>
            <w:r>
              <w:rPr>
                <w:rFonts w:ascii="Garamond" w:eastAsia="Times New Roman" w:hAnsi="Garamond" w:cs="Calibri"/>
                <w:color w:val="000000"/>
                <w:sz w:val="18"/>
                <w:szCs w:val="18"/>
              </w:rPr>
              <w:t xml:space="preserve">nd its Interface, 2(4), 457-468; </w:t>
            </w:r>
            <w:r w:rsidRPr="006F5C0E">
              <w:rPr>
                <w:rFonts w:ascii="Garamond" w:eastAsia="Times New Roman" w:hAnsi="Garamond" w:cs="Calibri"/>
                <w:color w:val="000000"/>
                <w:sz w:val="18"/>
                <w:szCs w:val="18"/>
              </w:rPr>
              <w:t>Green, Donald P., Shang E. Ha, and John G. Bullock. "Enough already about “black box” experiments: Studying mediation is more difficult than most scholars suppose." The Annals of the American Academy of Political and Social Science 628.1 (2010): 200-208; Jo, Booil, et al. "The use of propensity scores in mediation analysis." Multivariate Behavioral Research 46.3 (2011): 425-452.; Imai, K., Keele, L., Tingley, D., &amp; Yamamoto, T. (2011). Unpacking the black box of causality: Learning about causal mechanisms from experimental and observational studies. American Political Science Review, 105(4), 765-789; Vansteelandt, Stijn. "Estimating direct effects in cohort and case–control studies." Epidemiology (2009): 851-860. </w:t>
            </w:r>
          </w:p>
        </w:tc>
      </w:tr>
    </w:tbl>
    <w:p w14:paraId="6DF389D1" w14:textId="77777777" w:rsidR="0046701B" w:rsidRDefault="0046701B" w:rsidP="0073697B">
      <w:pPr>
        <w:pStyle w:val="Default"/>
        <w:rPr>
          <w:b/>
        </w:rPr>
        <w:sectPr w:rsidR="0046701B" w:rsidSect="00307225">
          <w:type w:val="continuous"/>
          <w:pgSz w:w="15840" w:h="12240" w:orient="landscape"/>
          <w:pgMar w:top="720" w:right="720" w:bottom="720" w:left="720" w:header="720" w:footer="720" w:gutter="0"/>
          <w:cols w:space="720"/>
          <w:docGrid w:linePitch="360"/>
        </w:sectPr>
      </w:pPr>
    </w:p>
    <w:p w14:paraId="03C9FC50" w14:textId="77777777" w:rsidR="00B23BD6" w:rsidRPr="00DC71DE" w:rsidRDefault="00B23BD6" w:rsidP="0073697B">
      <w:pPr>
        <w:pStyle w:val="Default"/>
        <w:rPr>
          <w:b/>
        </w:rPr>
      </w:pPr>
    </w:p>
    <w:p w14:paraId="76E14860" w14:textId="77777777" w:rsidR="006F5C0E" w:rsidRDefault="006F5C0E">
      <w:pPr>
        <w:rPr>
          <w:rFonts w:ascii="Garamond" w:hAnsi="Garamond" w:cs="Garamond"/>
          <w:b/>
          <w:color w:val="000000"/>
          <w:sz w:val="24"/>
          <w:szCs w:val="24"/>
        </w:rPr>
      </w:pPr>
      <w:r>
        <w:rPr>
          <w:b/>
        </w:rPr>
        <w:br w:type="page"/>
      </w:r>
    </w:p>
    <w:p w14:paraId="3BA2775F" w14:textId="77777777" w:rsidR="005811DB" w:rsidRPr="004B3E24" w:rsidRDefault="005811DB" w:rsidP="0073697B">
      <w:pPr>
        <w:pStyle w:val="Default"/>
        <w:rPr>
          <w:b/>
        </w:rPr>
      </w:pPr>
      <w:r w:rsidRPr="004B3E24">
        <w:rPr>
          <w:b/>
        </w:rPr>
        <w:lastRenderedPageBreak/>
        <w:t>Course Schedule Assignments:</w:t>
      </w:r>
    </w:p>
    <w:tbl>
      <w:tblPr>
        <w:tblW w:w="13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880"/>
        <w:gridCol w:w="2680"/>
        <w:gridCol w:w="4243"/>
        <w:gridCol w:w="4238"/>
        <w:gridCol w:w="1237"/>
      </w:tblGrid>
      <w:tr w:rsidR="004B3E24" w:rsidRPr="004B3E24" w14:paraId="08161B46" w14:textId="77777777" w:rsidTr="00631C70">
        <w:trPr>
          <w:trHeight w:val="495"/>
        </w:trPr>
        <w:tc>
          <w:tcPr>
            <w:tcW w:w="642" w:type="dxa"/>
            <w:tcBorders>
              <w:bottom w:val="single" w:sz="4" w:space="0" w:color="auto"/>
            </w:tcBorders>
            <w:shd w:val="clear" w:color="auto" w:fill="auto"/>
            <w:noWrap/>
            <w:vAlign w:val="center"/>
            <w:hideMark/>
          </w:tcPr>
          <w:p w14:paraId="62CA51F3" w14:textId="77777777" w:rsidR="004B3E24" w:rsidRPr="004B3E24" w:rsidRDefault="004B3E24" w:rsidP="004B3E24">
            <w:pPr>
              <w:spacing w:after="0" w:line="240" w:lineRule="auto"/>
              <w:jc w:val="center"/>
              <w:rPr>
                <w:rFonts w:ascii="Garamond" w:eastAsia="Times New Roman" w:hAnsi="Garamond" w:cs="Calibri"/>
                <w:b/>
                <w:bCs/>
                <w:color w:val="000000"/>
                <w:sz w:val="18"/>
                <w:szCs w:val="18"/>
              </w:rPr>
            </w:pPr>
            <w:r w:rsidRPr="004B3E24">
              <w:rPr>
                <w:rFonts w:ascii="Garamond" w:eastAsia="Times New Roman" w:hAnsi="Garamond" w:cs="Calibri"/>
                <w:b/>
                <w:bCs/>
                <w:color w:val="000000"/>
                <w:sz w:val="18"/>
                <w:szCs w:val="18"/>
              </w:rPr>
              <w:t>Week</w:t>
            </w:r>
          </w:p>
        </w:tc>
        <w:tc>
          <w:tcPr>
            <w:tcW w:w="880" w:type="dxa"/>
            <w:tcBorders>
              <w:bottom w:val="single" w:sz="4" w:space="0" w:color="auto"/>
            </w:tcBorders>
            <w:shd w:val="clear" w:color="auto" w:fill="auto"/>
            <w:noWrap/>
            <w:vAlign w:val="center"/>
            <w:hideMark/>
          </w:tcPr>
          <w:p w14:paraId="06B6BA56" w14:textId="77777777" w:rsidR="004B3E24" w:rsidRPr="004B3E24" w:rsidRDefault="004B3E24" w:rsidP="004B3E24">
            <w:pPr>
              <w:spacing w:after="0" w:line="240" w:lineRule="auto"/>
              <w:jc w:val="center"/>
              <w:rPr>
                <w:rFonts w:ascii="Garamond" w:eastAsia="Times New Roman" w:hAnsi="Garamond" w:cs="Calibri"/>
                <w:b/>
                <w:bCs/>
                <w:color w:val="000000"/>
                <w:sz w:val="18"/>
                <w:szCs w:val="18"/>
              </w:rPr>
            </w:pPr>
            <w:r w:rsidRPr="004B3E24">
              <w:rPr>
                <w:rFonts w:ascii="Garamond" w:eastAsia="Times New Roman" w:hAnsi="Garamond" w:cs="Calibri"/>
                <w:b/>
                <w:bCs/>
                <w:color w:val="000000"/>
                <w:sz w:val="18"/>
                <w:szCs w:val="18"/>
              </w:rPr>
              <w:t>Date</w:t>
            </w:r>
          </w:p>
        </w:tc>
        <w:tc>
          <w:tcPr>
            <w:tcW w:w="2680" w:type="dxa"/>
            <w:tcBorders>
              <w:bottom w:val="single" w:sz="4" w:space="0" w:color="auto"/>
            </w:tcBorders>
            <w:shd w:val="clear" w:color="auto" w:fill="auto"/>
            <w:vAlign w:val="center"/>
            <w:hideMark/>
          </w:tcPr>
          <w:p w14:paraId="2B172DAA" w14:textId="77777777" w:rsidR="004B3E24" w:rsidRPr="004B3E24" w:rsidRDefault="004B3E24" w:rsidP="004B3E24">
            <w:pPr>
              <w:spacing w:after="0" w:line="240" w:lineRule="auto"/>
              <w:jc w:val="center"/>
              <w:rPr>
                <w:rFonts w:ascii="Garamond" w:eastAsia="Times New Roman" w:hAnsi="Garamond" w:cs="Calibri"/>
                <w:b/>
                <w:bCs/>
                <w:color w:val="000000"/>
                <w:sz w:val="18"/>
                <w:szCs w:val="18"/>
              </w:rPr>
            </w:pPr>
            <w:r w:rsidRPr="004B3E24">
              <w:rPr>
                <w:rFonts w:ascii="Garamond" w:eastAsia="Times New Roman" w:hAnsi="Garamond" w:cs="Calibri"/>
                <w:b/>
                <w:bCs/>
                <w:color w:val="000000"/>
                <w:sz w:val="18"/>
                <w:szCs w:val="18"/>
              </w:rPr>
              <w:t>Topics</w:t>
            </w:r>
          </w:p>
        </w:tc>
        <w:tc>
          <w:tcPr>
            <w:tcW w:w="4243" w:type="dxa"/>
            <w:tcBorders>
              <w:bottom w:val="single" w:sz="4" w:space="0" w:color="auto"/>
            </w:tcBorders>
            <w:shd w:val="clear" w:color="auto" w:fill="auto"/>
            <w:vAlign w:val="center"/>
            <w:hideMark/>
          </w:tcPr>
          <w:p w14:paraId="333FA3FB" w14:textId="77777777" w:rsidR="004B3E24" w:rsidRPr="004B3E24" w:rsidRDefault="004B3E24" w:rsidP="004B3E24">
            <w:pPr>
              <w:spacing w:after="0" w:line="240" w:lineRule="auto"/>
              <w:jc w:val="center"/>
              <w:rPr>
                <w:rFonts w:ascii="Garamond" w:eastAsia="Times New Roman" w:hAnsi="Garamond" w:cs="Calibri"/>
                <w:b/>
                <w:bCs/>
                <w:color w:val="000000"/>
                <w:sz w:val="18"/>
                <w:szCs w:val="18"/>
              </w:rPr>
            </w:pPr>
            <w:r w:rsidRPr="004B3E24">
              <w:rPr>
                <w:rFonts w:ascii="Garamond" w:eastAsia="Times New Roman" w:hAnsi="Garamond" w:cs="Calibri"/>
                <w:b/>
                <w:bCs/>
                <w:color w:val="000000"/>
                <w:sz w:val="18"/>
                <w:szCs w:val="18"/>
              </w:rPr>
              <w:t>Individual Assignments</w:t>
            </w:r>
          </w:p>
        </w:tc>
        <w:tc>
          <w:tcPr>
            <w:tcW w:w="4238" w:type="dxa"/>
            <w:tcBorders>
              <w:bottom w:val="single" w:sz="4" w:space="0" w:color="auto"/>
            </w:tcBorders>
            <w:shd w:val="clear" w:color="auto" w:fill="auto"/>
            <w:vAlign w:val="center"/>
            <w:hideMark/>
          </w:tcPr>
          <w:p w14:paraId="2B82AA21" w14:textId="77777777" w:rsidR="004B3E24" w:rsidRPr="004B3E24" w:rsidRDefault="004B3E24" w:rsidP="004B3E24">
            <w:pPr>
              <w:spacing w:after="0" w:line="240" w:lineRule="auto"/>
              <w:jc w:val="center"/>
              <w:rPr>
                <w:rFonts w:ascii="Garamond" w:eastAsia="Times New Roman" w:hAnsi="Garamond" w:cs="Calibri"/>
                <w:b/>
                <w:bCs/>
                <w:color w:val="000000"/>
                <w:sz w:val="18"/>
                <w:szCs w:val="18"/>
              </w:rPr>
            </w:pPr>
            <w:r w:rsidRPr="004B3E24">
              <w:rPr>
                <w:rFonts w:ascii="Garamond" w:eastAsia="Times New Roman" w:hAnsi="Garamond" w:cs="Calibri"/>
                <w:b/>
                <w:bCs/>
                <w:color w:val="000000"/>
                <w:sz w:val="18"/>
                <w:szCs w:val="18"/>
              </w:rPr>
              <w:t>Individual Assignments</w:t>
            </w:r>
          </w:p>
        </w:tc>
        <w:tc>
          <w:tcPr>
            <w:tcW w:w="1237" w:type="dxa"/>
            <w:tcBorders>
              <w:bottom w:val="single" w:sz="4" w:space="0" w:color="auto"/>
            </w:tcBorders>
            <w:shd w:val="clear" w:color="auto" w:fill="auto"/>
            <w:vAlign w:val="center"/>
            <w:hideMark/>
          </w:tcPr>
          <w:p w14:paraId="4EC57493" w14:textId="77777777" w:rsidR="004B3E24" w:rsidRPr="004B3E24" w:rsidRDefault="004B3E24" w:rsidP="004B3E24">
            <w:pPr>
              <w:spacing w:after="0" w:line="240" w:lineRule="auto"/>
              <w:jc w:val="center"/>
              <w:rPr>
                <w:rFonts w:ascii="Garamond" w:eastAsia="Times New Roman" w:hAnsi="Garamond" w:cs="Calibri"/>
                <w:b/>
                <w:bCs/>
                <w:color w:val="000000"/>
                <w:sz w:val="18"/>
                <w:szCs w:val="18"/>
              </w:rPr>
            </w:pPr>
            <w:r w:rsidRPr="004B3E24">
              <w:rPr>
                <w:rFonts w:ascii="Garamond" w:eastAsia="Times New Roman" w:hAnsi="Garamond" w:cs="Calibri"/>
                <w:b/>
                <w:bCs/>
                <w:color w:val="000000"/>
                <w:sz w:val="18"/>
                <w:szCs w:val="18"/>
              </w:rPr>
              <w:t>Group Assignments</w:t>
            </w:r>
          </w:p>
        </w:tc>
      </w:tr>
      <w:tr w:rsidR="00EC16E9" w:rsidRPr="004B3E24" w14:paraId="105D54F6" w14:textId="77777777" w:rsidTr="00631C70">
        <w:trPr>
          <w:trHeight w:val="495"/>
        </w:trPr>
        <w:tc>
          <w:tcPr>
            <w:tcW w:w="642" w:type="dxa"/>
            <w:tcBorders>
              <w:top w:val="single" w:sz="4" w:space="0" w:color="auto"/>
            </w:tcBorders>
            <w:shd w:val="clear" w:color="auto" w:fill="auto"/>
            <w:noWrap/>
            <w:vAlign w:val="center"/>
            <w:hideMark/>
          </w:tcPr>
          <w:p w14:paraId="5321072C" w14:textId="30B938B3" w:rsidR="00EC16E9" w:rsidRPr="004B3E24" w:rsidRDefault="00EC16E9" w:rsidP="00EC16E9">
            <w:pPr>
              <w:spacing w:after="0" w:line="240" w:lineRule="auto"/>
              <w:jc w:val="center"/>
              <w:rPr>
                <w:rFonts w:ascii="Garamond" w:eastAsia="Times New Roman" w:hAnsi="Garamond" w:cs="Calibri"/>
                <w:color w:val="000000"/>
                <w:sz w:val="18"/>
                <w:szCs w:val="18"/>
              </w:rPr>
            </w:pPr>
            <w:r w:rsidRPr="006F5C0E">
              <w:rPr>
                <w:rFonts w:ascii="Garamond" w:eastAsia="Times New Roman" w:hAnsi="Garamond" w:cs="Calibri"/>
                <w:color w:val="000000"/>
                <w:sz w:val="18"/>
                <w:szCs w:val="18"/>
              </w:rPr>
              <w:t>1</w:t>
            </w:r>
          </w:p>
        </w:tc>
        <w:tc>
          <w:tcPr>
            <w:tcW w:w="880" w:type="dxa"/>
            <w:tcBorders>
              <w:top w:val="single" w:sz="4" w:space="0" w:color="auto"/>
            </w:tcBorders>
            <w:shd w:val="clear" w:color="auto" w:fill="auto"/>
            <w:noWrap/>
            <w:vAlign w:val="center"/>
            <w:hideMark/>
          </w:tcPr>
          <w:p w14:paraId="351D0C69" w14:textId="24CA7FFA" w:rsidR="00EC16E9" w:rsidRPr="004B3E24" w:rsidRDefault="00EC16E9" w:rsidP="00EC16E9">
            <w:pPr>
              <w:spacing w:after="0" w:line="240" w:lineRule="auto"/>
              <w:jc w:val="center"/>
              <w:rPr>
                <w:rFonts w:ascii="Garamond" w:eastAsia="Times New Roman" w:hAnsi="Garamond" w:cs="Calibri"/>
                <w:color w:val="000000"/>
                <w:sz w:val="18"/>
                <w:szCs w:val="18"/>
              </w:rPr>
            </w:pPr>
            <w:r>
              <w:rPr>
                <w:rFonts w:ascii="Garamond" w:eastAsia="Times New Roman" w:hAnsi="Garamond" w:cs="Calibri"/>
                <w:color w:val="000000"/>
                <w:sz w:val="18"/>
                <w:szCs w:val="18"/>
              </w:rPr>
              <w:t>Feb 7</w:t>
            </w:r>
          </w:p>
        </w:tc>
        <w:tc>
          <w:tcPr>
            <w:tcW w:w="2680" w:type="dxa"/>
            <w:tcBorders>
              <w:top w:val="single" w:sz="4" w:space="0" w:color="auto"/>
            </w:tcBorders>
            <w:shd w:val="clear" w:color="auto" w:fill="auto"/>
            <w:vAlign w:val="center"/>
            <w:hideMark/>
          </w:tcPr>
          <w:p w14:paraId="3671E16D" w14:textId="42A1C9D4" w:rsidR="00EC16E9" w:rsidRPr="004B3E24" w:rsidRDefault="00EC16E9" w:rsidP="00EC16E9">
            <w:pPr>
              <w:spacing w:after="0" w:line="240" w:lineRule="auto"/>
              <w:rPr>
                <w:rFonts w:ascii="Garamond" w:eastAsia="Times New Roman" w:hAnsi="Garamond" w:cs="Calibri"/>
                <w:color w:val="000000"/>
                <w:sz w:val="18"/>
                <w:szCs w:val="18"/>
              </w:rPr>
            </w:pPr>
            <w:r w:rsidRPr="006F5C0E">
              <w:rPr>
                <w:rFonts w:ascii="Garamond" w:eastAsia="Times New Roman" w:hAnsi="Garamond" w:cs="Calibri"/>
                <w:color w:val="000000"/>
                <w:sz w:val="18"/>
                <w:szCs w:val="18"/>
              </w:rPr>
              <w:t xml:space="preserve">Potential outcomes. Selection bias. Omitted variable bias. Causal effects. Experimental design. </w:t>
            </w:r>
          </w:p>
        </w:tc>
        <w:tc>
          <w:tcPr>
            <w:tcW w:w="4243" w:type="dxa"/>
            <w:tcBorders>
              <w:top w:val="single" w:sz="4" w:space="0" w:color="auto"/>
            </w:tcBorders>
            <w:shd w:val="clear" w:color="auto" w:fill="auto"/>
            <w:vAlign w:val="bottom"/>
            <w:hideMark/>
          </w:tcPr>
          <w:p w14:paraId="49E1DECD" w14:textId="77777777" w:rsidR="00EC16E9" w:rsidRPr="004B3E24" w:rsidRDefault="00EC16E9" w:rsidP="00EC16E9">
            <w:pPr>
              <w:spacing w:after="0" w:line="240" w:lineRule="auto"/>
              <w:rPr>
                <w:rFonts w:ascii="Garamond" w:eastAsia="Times New Roman" w:hAnsi="Garamond" w:cs="Calibri"/>
                <w:color w:val="000000"/>
                <w:sz w:val="18"/>
                <w:szCs w:val="18"/>
              </w:rPr>
            </w:pPr>
          </w:p>
        </w:tc>
        <w:tc>
          <w:tcPr>
            <w:tcW w:w="4238" w:type="dxa"/>
            <w:tcBorders>
              <w:top w:val="single" w:sz="4" w:space="0" w:color="auto"/>
            </w:tcBorders>
            <w:shd w:val="clear" w:color="auto" w:fill="auto"/>
            <w:vAlign w:val="bottom"/>
            <w:hideMark/>
          </w:tcPr>
          <w:p w14:paraId="792D2DE5" w14:textId="77777777" w:rsidR="00EC16E9" w:rsidRPr="004B3E24" w:rsidRDefault="00EC16E9" w:rsidP="00EC16E9">
            <w:pPr>
              <w:spacing w:after="0" w:line="240" w:lineRule="auto"/>
              <w:rPr>
                <w:rFonts w:ascii="Times New Roman" w:eastAsia="Times New Roman" w:hAnsi="Times New Roman" w:cs="Times New Roman"/>
                <w:sz w:val="20"/>
                <w:szCs w:val="20"/>
              </w:rPr>
            </w:pPr>
          </w:p>
        </w:tc>
        <w:tc>
          <w:tcPr>
            <w:tcW w:w="1237" w:type="dxa"/>
            <w:tcBorders>
              <w:top w:val="single" w:sz="4" w:space="0" w:color="auto"/>
            </w:tcBorders>
            <w:shd w:val="clear" w:color="auto" w:fill="auto"/>
            <w:vAlign w:val="center"/>
            <w:hideMark/>
          </w:tcPr>
          <w:p w14:paraId="554698B6" w14:textId="77777777" w:rsidR="00EC16E9" w:rsidRPr="004B3E24" w:rsidRDefault="00EC16E9" w:rsidP="00EC16E9">
            <w:pPr>
              <w:spacing w:after="0" w:line="240" w:lineRule="auto"/>
              <w:rPr>
                <w:rFonts w:ascii="Garamond" w:eastAsia="Times New Roman" w:hAnsi="Garamond" w:cs="Calibri"/>
                <w:color w:val="000000"/>
                <w:sz w:val="18"/>
                <w:szCs w:val="18"/>
              </w:rPr>
            </w:pPr>
            <w:r w:rsidRPr="004B3E24">
              <w:rPr>
                <w:rFonts w:ascii="Garamond" w:eastAsia="Times New Roman" w:hAnsi="Garamond" w:cs="Calibri"/>
                <w:color w:val="000000"/>
                <w:sz w:val="18"/>
                <w:szCs w:val="18"/>
              </w:rPr>
              <w:t> </w:t>
            </w:r>
          </w:p>
        </w:tc>
      </w:tr>
      <w:tr w:rsidR="00EC16E9" w:rsidRPr="004B3E24" w14:paraId="7CCFBA51" w14:textId="77777777" w:rsidTr="00631C70">
        <w:trPr>
          <w:trHeight w:val="960"/>
        </w:trPr>
        <w:tc>
          <w:tcPr>
            <w:tcW w:w="642" w:type="dxa"/>
            <w:shd w:val="clear" w:color="auto" w:fill="auto"/>
            <w:noWrap/>
            <w:vAlign w:val="center"/>
            <w:hideMark/>
          </w:tcPr>
          <w:p w14:paraId="679128D9" w14:textId="1492D429" w:rsidR="00EC16E9" w:rsidRPr="004B3E24" w:rsidRDefault="00EC16E9" w:rsidP="00EC16E9">
            <w:pPr>
              <w:spacing w:after="0" w:line="240" w:lineRule="auto"/>
              <w:jc w:val="center"/>
              <w:rPr>
                <w:rFonts w:ascii="Garamond" w:eastAsia="Times New Roman" w:hAnsi="Garamond" w:cs="Calibri"/>
                <w:color w:val="000000"/>
                <w:sz w:val="18"/>
                <w:szCs w:val="18"/>
              </w:rPr>
            </w:pPr>
            <w:r w:rsidRPr="006F5C0E">
              <w:rPr>
                <w:rFonts w:ascii="Garamond" w:eastAsia="Times New Roman" w:hAnsi="Garamond" w:cs="Calibri"/>
                <w:color w:val="000000"/>
                <w:sz w:val="18"/>
                <w:szCs w:val="18"/>
              </w:rPr>
              <w:t>2</w:t>
            </w:r>
          </w:p>
        </w:tc>
        <w:tc>
          <w:tcPr>
            <w:tcW w:w="880" w:type="dxa"/>
            <w:shd w:val="clear" w:color="auto" w:fill="auto"/>
            <w:noWrap/>
            <w:vAlign w:val="center"/>
            <w:hideMark/>
          </w:tcPr>
          <w:p w14:paraId="46D8F19C" w14:textId="7879670A" w:rsidR="00EC16E9" w:rsidRPr="004B3E24" w:rsidRDefault="00EC16E9" w:rsidP="00EC16E9">
            <w:pPr>
              <w:spacing w:after="0" w:line="240" w:lineRule="auto"/>
              <w:jc w:val="center"/>
              <w:rPr>
                <w:rFonts w:ascii="Garamond" w:eastAsia="Times New Roman" w:hAnsi="Garamond" w:cs="Calibri"/>
                <w:color w:val="000000"/>
                <w:sz w:val="18"/>
                <w:szCs w:val="18"/>
              </w:rPr>
            </w:pPr>
            <w:r>
              <w:rPr>
                <w:rFonts w:ascii="Garamond" w:eastAsia="Times New Roman" w:hAnsi="Garamond" w:cs="Calibri"/>
                <w:color w:val="000000"/>
                <w:sz w:val="18"/>
                <w:szCs w:val="18"/>
              </w:rPr>
              <w:t>Feb 14</w:t>
            </w:r>
          </w:p>
        </w:tc>
        <w:tc>
          <w:tcPr>
            <w:tcW w:w="2680" w:type="dxa"/>
            <w:shd w:val="clear" w:color="auto" w:fill="auto"/>
            <w:vAlign w:val="center"/>
            <w:hideMark/>
          </w:tcPr>
          <w:p w14:paraId="0BB9D347" w14:textId="5062FB56" w:rsidR="00EC16E9" w:rsidRPr="004B3E24" w:rsidRDefault="00EC16E9" w:rsidP="00EC16E9">
            <w:pPr>
              <w:spacing w:after="0" w:line="240" w:lineRule="auto"/>
              <w:rPr>
                <w:rFonts w:ascii="Garamond" w:eastAsia="Times New Roman" w:hAnsi="Garamond" w:cs="Calibri"/>
                <w:color w:val="000000"/>
                <w:sz w:val="18"/>
                <w:szCs w:val="18"/>
              </w:rPr>
            </w:pPr>
            <w:r w:rsidRPr="0041585D">
              <w:rPr>
                <w:rFonts w:ascii="Garamond" w:eastAsia="Times New Roman" w:hAnsi="Garamond" w:cs="Calibri"/>
                <w:color w:val="000000"/>
                <w:sz w:val="18"/>
                <w:szCs w:val="18"/>
              </w:rPr>
              <w:t>Directed acyclical graphical models (DAGs); collider bias; bad controls</w:t>
            </w:r>
            <w:r>
              <w:rPr>
                <w:rFonts w:ascii="Garamond" w:eastAsia="Times New Roman" w:hAnsi="Garamond" w:cs="Calibri"/>
                <w:color w:val="000000"/>
                <w:sz w:val="18"/>
                <w:szCs w:val="18"/>
              </w:rPr>
              <w:t xml:space="preserve">; </w:t>
            </w:r>
            <w:r w:rsidRPr="0041585D">
              <w:rPr>
                <w:rFonts w:ascii="Garamond" w:eastAsia="Times New Roman" w:hAnsi="Garamond" w:cs="Calibri"/>
                <w:color w:val="000000"/>
                <w:sz w:val="18"/>
                <w:szCs w:val="18"/>
              </w:rPr>
              <w:t xml:space="preserve">Subclassification. Exact matching. Propensity score. Nearest neighbor matching. Coarsened exact matching. </w:t>
            </w:r>
            <w:r w:rsidRPr="0041585D" w:rsidDel="0041585D">
              <w:rPr>
                <w:rFonts w:ascii="Garamond" w:eastAsia="Times New Roman" w:hAnsi="Garamond" w:cs="Calibri"/>
                <w:color w:val="000000"/>
                <w:sz w:val="18"/>
                <w:szCs w:val="18"/>
              </w:rPr>
              <w:t xml:space="preserve"> </w:t>
            </w:r>
            <w:r>
              <w:rPr>
                <w:rFonts w:ascii="Garamond" w:eastAsia="Times New Roman" w:hAnsi="Garamond" w:cs="Calibri"/>
                <w:color w:val="000000"/>
                <w:sz w:val="18"/>
                <w:szCs w:val="18"/>
              </w:rPr>
              <w:t xml:space="preserve"> </w:t>
            </w:r>
          </w:p>
        </w:tc>
        <w:tc>
          <w:tcPr>
            <w:tcW w:w="4243" w:type="dxa"/>
            <w:shd w:val="clear" w:color="auto" w:fill="auto"/>
            <w:vAlign w:val="center"/>
            <w:hideMark/>
          </w:tcPr>
          <w:p w14:paraId="53F9CF42" w14:textId="77777777" w:rsidR="00EC16E9" w:rsidRDefault="00EC16E9" w:rsidP="00EC16E9">
            <w:pPr>
              <w:spacing w:after="0" w:line="240" w:lineRule="auto"/>
              <w:rPr>
                <w:rFonts w:ascii="Garamond" w:eastAsia="Times New Roman" w:hAnsi="Garamond" w:cs="Calibri"/>
                <w:color w:val="000000"/>
                <w:sz w:val="18"/>
                <w:szCs w:val="18"/>
              </w:rPr>
            </w:pPr>
            <w:r w:rsidRPr="004B3E24">
              <w:rPr>
                <w:rFonts w:ascii="Garamond" w:eastAsia="Times New Roman" w:hAnsi="Garamond" w:cs="Calibri"/>
                <w:color w:val="000000"/>
                <w:sz w:val="18"/>
                <w:szCs w:val="18"/>
              </w:rPr>
              <w:t>P1: Alan, Sule, Teodora Boneva, and Seda Ertac. "Ever Failed, Try Again, Succeed Better: Results from a Randomized Educational Intervention on Grit." </w:t>
            </w:r>
            <w:r w:rsidRPr="00CB7239">
              <w:rPr>
                <w:rFonts w:ascii="Garamond" w:eastAsia="Times New Roman" w:hAnsi="Garamond" w:cs="Calibri"/>
                <w:i/>
                <w:iCs/>
                <w:color w:val="000000"/>
                <w:sz w:val="18"/>
                <w:szCs w:val="18"/>
              </w:rPr>
              <w:t>Quarterly Journal of Economics</w:t>
            </w:r>
            <w:r w:rsidRPr="004B3E24">
              <w:rPr>
                <w:rFonts w:ascii="Garamond" w:eastAsia="Times New Roman" w:hAnsi="Garamond" w:cs="Calibri"/>
                <w:color w:val="000000"/>
                <w:sz w:val="18"/>
                <w:szCs w:val="18"/>
              </w:rPr>
              <w:t> (2019).</w:t>
            </w:r>
          </w:p>
          <w:p w14:paraId="226D3CD7" w14:textId="77777777" w:rsidR="00073C66" w:rsidRDefault="00073C66" w:rsidP="00EC16E9">
            <w:pPr>
              <w:spacing w:after="0" w:line="240" w:lineRule="auto"/>
              <w:rPr>
                <w:rFonts w:ascii="Garamond" w:eastAsia="Times New Roman" w:hAnsi="Garamond" w:cs="Calibri"/>
                <w:color w:val="000000"/>
                <w:sz w:val="18"/>
                <w:szCs w:val="18"/>
              </w:rPr>
            </w:pPr>
          </w:p>
          <w:p w14:paraId="72EB09F4" w14:textId="65D9E8C2" w:rsidR="00073C66" w:rsidRPr="004B3E24" w:rsidRDefault="00390786" w:rsidP="00EC16E9">
            <w:pPr>
              <w:spacing w:after="0" w:line="240" w:lineRule="auto"/>
              <w:rPr>
                <w:rFonts w:ascii="Garamond" w:eastAsia="Times New Roman" w:hAnsi="Garamond" w:cs="Calibri"/>
                <w:color w:val="000000"/>
                <w:sz w:val="18"/>
                <w:szCs w:val="18"/>
              </w:rPr>
            </w:pPr>
            <w:r>
              <w:rPr>
                <w:rFonts w:ascii="Garamond" w:eastAsia="Times New Roman" w:hAnsi="Garamond" w:cs="Calibri"/>
                <w:color w:val="000000"/>
                <w:sz w:val="18"/>
                <w:szCs w:val="18"/>
              </w:rPr>
              <w:t xml:space="preserve">P2: </w:t>
            </w:r>
            <w:r w:rsidR="00073C66" w:rsidRPr="00073C66">
              <w:rPr>
                <w:rFonts w:ascii="Garamond" w:eastAsia="Times New Roman" w:hAnsi="Garamond" w:cs="Calibri"/>
                <w:color w:val="000000"/>
                <w:sz w:val="18"/>
                <w:szCs w:val="18"/>
              </w:rPr>
              <w:t>Cook, Thomas D., William R. Shadish, and Vivian C. Wong. "Three conditions under which experiments and observational studies produce comparable causal estimates: New findings from within</w:t>
            </w:r>
            <w:r w:rsidR="00073C66" w:rsidRPr="00073C66">
              <w:rPr>
                <w:rFonts w:ascii="Times New Roman" w:eastAsia="Times New Roman" w:hAnsi="Times New Roman" w:cs="Times New Roman"/>
                <w:color w:val="000000"/>
                <w:sz w:val="18"/>
                <w:szCs w:val="18"/>
              </w:rPr>
              <w:t>‐</w:t>
            </w:r>
            <w:r w:rsidR="00073C66" w:rsidRPr="00073C66">
              <w:rPr>
                <w:rFonts w:ascii="Garamond" w:eastAsia="Times New Roman" w:hAnsi="Garamond" w:cs="Calibri"/>
                <w:color w:val="000000"/>
                <w:sz w:val="18"/>
                <w:szCs w:val="18"/>
              </w:rPr>
              <w:t xml:space="preserve">study comparisons." </w:t>
            </w:r>
            <w:r w:rsidR="00073C66" w:rsidRPr="00073C66">
              <w:rPr>
                <w:rFonts w:ascii="Garamond" w:eastAsia="Times New Roman" w:hAnsi="Garamond" w:cs="Calibri"/>
                <w:i/>
                <w:iCs/>
                <w:color w:val="000000"/>
                <w:sz w:val="18"/>
                <w:szCs w:val="18"/>
              </w:rPr>
              <w:t>The Journal of the Association for Public Policy Analysis and Management</w:t>
            </w:r>
            <w:r w:rsidR="00073C66" w:rsidRPr="00073C66">
              <w:rPr>
                <w:rFonts w:ascii="Garamond" w:eastAsia="Times New Roman" w:hAnsi="Garamond" w:cs="Calibri"/>
                <w:color w:val="000000"/>
                <w:sz w:val="18"/>
                <w:szCs w:val="18"/>
              </w:rPr>
              <w:t xml:space="preserve"> 27.4 (2008): 724-750.</w:t>
            </w:r>
          </w:p>
        </w:tc>
        <w:tc>
          <w:tcPr>
            <w:tcW w:w="4238" w:type="dxa"/>
            <w:shd w:val="clear" w:color="auto" w:fill="auto"/>
            <w:vAlign w:val="center"/>
            <w:hideMark/>
          </w:tcPr>
          <w:p w14:paraId="5F906330" w14:textId="25475BBE" w:rsidR="00EC16E9" w:rsidRDefault="00EC16E9" w:rsidP="00EC16E9">
            <w:pPr>
              <w:spacing w:after="0" w:line="240" w:lineRule="auto"/>
              <w:rPr>
                <w:rFonts w:ascii="Garamond" w:eastAsia="Times New Roman" w:hAnsi="Garamond" w:cs="Calibri"/>
                <w:color w:val="000000"/>
                <w:sz w:val="18"/>
                <w:szCs w:val="18"/>
              </w:rPr>
            </w:pPr>
            <w:r w:rsidRPr="004B3E24">
              <w:rPr>
                <w:rFonts w:ascii="Garamond" w:eastAsia="Times New Roman" w:hAnsi="Garamond" w:cs="Calibri"/>
                <w:color w:val="000000"/>
                <w:sz w:val="18"/>
                <w:szCs w:val="18"/>
              </w:rPr>
              <w:t>P</w:t>
            </w:r>
            <w:r w:rsidR="00390786">
              <w:rPr>
                <w:rFonts w:ascii="Garamond" w:eastAsia="Times New Roman" w:hAnsi="Garamond" w:cs="Calibri"/>
                <w:color w:val="000000"/>
                <w:sz w:val="18"/>
                <w:szCs w:val="18"/>
              </w:rPr>
              <w:t>3</w:t>
            </w:r>
            <w:r w:rsidRPr="004B3E24">
              <w:rPr>
                <w:rFonts w:ascii="Garamond" w:eastAsia="Times New Roman" w:hAnsi="Garamond" w:cs="Calibri"/>
                <w:color w:val="000000"/>
                <w:sz w:val="18"/>
                <w:szCs w:val="18"/>
              </w:rPr>
              <w:t xml:space="preserve">: </w:t>
            </w:r>
            <w:r w:rsidRPr="00B86280">
              <w:rPr>
                <w:rFonts w:ascii="Garamond" w:eastAsia="Times New Roman" w:hAnsi="Garamond" w:cs="Calibri"/>
                <w:color w:val="000000"/>
                <w:sz w:val="18"/>
                <w:szCs w:val="18"/>
              </w:rPr>
              <w:t xml:space="preserve">Yeager, D.S., Hanselman, P., Walton, G.M., Murray, J.S., Crosnoe, R., Muller, C., Tipton, E., Schneider, B., Hulleman, C.S., Hinojosa, C.P. and Paunesku, D., 2019. A national experiment reveals where a growth mindset improves achievement. </w:t>
            </w:r>
            <w:r w:rsidRPr="000A3A22">
              <w:rPr>
                <w:rFonts w:ascii="Garamond" w:eastAsia="Times New Roman" w:hAnsi="Garamond" w:cs="Calibri"/>
                <w:i/>
                <w:iCs/>
                <w:color w:val="000000"/>
                <w:sz w:val="18"/>
                <w:szCs w:val="18"/>
              </w:rPr>
              <w:t>Nature</w:t>
            </w:r>
            <w:r w:rsidRPr="00B86280">
              <w:rPr>
                <w:rFonts w:ascii="Garamond" w:eastAsia="Times New Roman" w:hAnsi="Garamond" w:cs="Calibri"/>
                <w:color w:val="000000"/>
                <w:sz w:val="18"/>
                <w:szCs w:val="18"/>
              </w:rPr>
              <w:t>,</w:t>
            </w:r>
            <w:r>
              <w:rPr>
                <w:rFonts w:ascii="Garamond" w:eastAsia="Times New Roman" w:hAnsi="Garamond" w:cs="Calibri"/>
                <w:color w:val="000000"/>
                <w:sz w:val="18"/>
                <w:szCs w:val="18"/>
              </w:rPr>
              <w:t xml:space="preserve"> </w:t>
            </w:r>
            <w:r w:rsidRPr="00B86280">
              <w:rPr>
                <w:rFonts w:ascii="Garamond" w:eastAsia="Times New Roman" w:hAnsi="Garamond" w:cs="Calibri"/>
                <w:color w:val="000000"/>
                <w:sz w:val="18"/>
                <w:szCs w:val="18"/>
              </w:rPr>
              <w:t xml:space="preserve"> pp.1-6.</w:t>
            </w:r>
          </w:p>
          <w:p w14:paraId="6A452627" w14:textId="77777777" w:rsidR="00073C66" w:rsidRDefault="00073C66" w:rsidP="00EC16E9">
            <w:pPr>
              <w:spacing w:after="0" w:line="240" w:lineRule="auto"/>
              <w:rPr>
                <w:rFonts w:ascii="Garamond" w:eastAsia="Times New Roman" w:hAnsi="Garamond" w:cs="Calibri"/>
                <w:color w:val="000000"/>
                <w:sz w:val="18"/>
                <w:szCs w:val="18"/>
              </w:rPr>
            </w:pPr>
          </w:p>
          <w:p w14:paraId="3DE9DA90" w14:textId="714D8714" w:rsidR="00073C66" w:rsidRPr="004B3E24" w:rsidRDefault="00073C66" w:rsidP="00EC16E9">
            <w:pPr>
              <w:spacing w:after="0" w:line="240" w:lineRule="auto"/>
              <w:rPr>
                <w:rFonts w:ascii="Garamond" w:eastAsia="Times New Roman" w:hAnsi="Garamond" w:cs="Calibri"/>
                <w:color w:val="000000"/>
                <w:sz w:val="18"/>
                <w:szCs w:val="18"/>
              </w:rPr>
            </w:pPr>
            <w:r w:rsidRPr="00073C66">
              <w:rPr>
                <w:rFonts w:ascii="Garamond" w:eastAsia="Times New Roman" w:hAnsi="Garamond" w:cs="Calibri"/>
                <w:color w:val="000000"/>
                <w:sz w:val="18"/>
                <w:szCs w:val="18"/>
              </w:rPr>
              <w:t>P</w:t>
            </w:r>
            <w:r w:rsidR="00390786">
              <w:rPr>
                <w:rFonts w:ascii="Garamond" w:eastAsia="Times New Roman" w:hAnsi="Garamond" w:cs="Calibri"/>
                <w:color w:val="000000"/>
                <w:sz w:val="18"/>
                <w:szCs w:val="18"/>
              </w:rPr>
              <w:t>4</w:t>
            </w:r>
            <w:r w:rsidRPr="00073C66">
              <w:rPr>
                <w:rFonts w:ascii="Garamond" w:eastAsia="Times New Roman" w:hAnsi="Garamond" w:cs="Calibri"/>
                <w:color w:val="000000"/>
                <w:sz w:val="18"/>
                <w:szCs w:val="18"/>
              </w:rPr>
              <w:t>. Forbes, Shaun P., and Issa J. Dahabreh. "Benchmarking observational analyses against randomized trials: a review of studies assessing propensity score methods." </w:t>
            </w:r>
            <w:r w:rsidRPr="00073C66">
              <w:rPr>
                <w:rFonts w:ascii="Garamond" w:eastAsia="Times New Roman" w:hAnsi="Garamond" w:cs="Calibri"/>
                <w:i/>
                <w:iCs/>
                <w:color w:val="000000"/>
                <w:sz w:val="18"/>
                <w:szCs w:val="18"/>
              </w:rPr>
              <w:t>Journal of general internal medicine</w:t>
            </w:r>
            <w:r w:rsidRPr="00073C66">
              <w:rPr>
                <w:rFonts w:ascii="Garamond" w:eastAsia="Times New Roman" w:hAnsi="Garamond" w:cs="Calibri"/>
                <w:color w:val="000000"/>
                <w:sz w:val="18"/>
                <w:szCs w:val="18"/>
              </w:rPr>
              <w:t> 35.5 (2020): 1396-1404.</w:t>
            </w:r>
          </w:p>
        </w:tc>
        <w:tc>
          <w:tcPr>
            <w:tcW w:w="1237" w:type="dxa"/>
            <w:shd w:val="clear" w:color="auto" w:fill="auto"/>
            <w:vAlign w:val="center"/>
            <w:hideMark/>
          </w:tcPr>
          <w:p w14:paraId="4F72A924" w14:textId="77777777" w:rsidR="00EC16E9" w:rsidRPr="004B3E24" w:rsidRDefault="00EC16E9" w:rsidP="00EC16E9">
            <w:pPr>
              <w:spacing w:after="0" w:line="240" w:lineRule="auto"/>
              <w:rPr>
                <w:rFonts w:ascii="Garamond" w:eastAsia="Times New Roman" w:hAnsi="Garamond" w:cs="Calibri"/>
                <w:color w:val="000000"/>
                <w:sz w:val="18"/>
                <w:szCs w:val="18"/>
              </w:rPr>
            </w:pPr>
            <w:r w:rsidRPr="004B3E24">
              <w:rPr>
                <w:rFonts w:ascii="Garamond" w:eastAsia="Times New Roman" w:hAnsi="Garamond" w:cs="Calibri"/>
                <w:color w:val="000000"/>
                <w:sz w:val="18"/>
                <w:szCs w:val="18"/>
              </w:rPr>
              <w:t> </w:t>
            </w:r>
          </w:p>
        </w:tc>
      </w:tr>
      <w:tr w:rsidR="00EC16E9" w:rsidRPr="004B3E24" w14:paraId="2509C97D" w14:textId="77777777" w:rsidTr="00631C70">
        <w:trPr>
          <w:trHeight w:val="720"/>
        </w:trPr>
        <w:tc>
          <w:tcPr>
            <w:tcW w:w="642" w:type="dxa"/>
            <w:shd w:val="clear" w:color="auto" w:fill="FFF2CC" w:themeFill="accent4" w:themeFillTint="33"/>
            <w:noWrap/>
            <w:vAlign w:val="center"/>
            <w:hideMark/>
          </w:tcPr>
          <w:p w14:paraId="482BB960" w14:textId="282C1F8B" w:rsidR="00EC16E9" w:rsidRPr="004B3E24" w:rsidRDefault="00EC16E9" w:rsidP="00EC16E9">
            <w:pPr>
              <w:spacing w:after="0" w:line="240" w:lineRule="auto"/>
              <w:jc w:val="center"/>
              <w:rPr>
                <w:rFonts w:ascii="Garamond" w:eastAsia="Times New Roman" w:hAnsi="Garamond" w:cs="Calibri"/>
                <w:color w:val="000000"/>
                <w:sz w:val="18"/>
                <w:szCs w:val="18"/>
              </w:rPr>
            </w:pPr>
            <w:r w:rsidRPr="006F5C0E">
              <w:rPr>
                <w:rFonts w:ascii="Garamond" w:eastAsia="Times New Roman" w:hAnsi="Garamond" w:cs="Calibri"/>
                <w:color w:val="000000"/>
                <w:sz w:val="18"/>
                <w:szCs w:val="18"/>
              </w:rPr>
              <w:t>3</w:t>
            </w:r>
          </w:p>
        </w:tc>
        <w:tc>
          <w:tcPr>
            <w:tcW w:w="880" w:type="dxa"/>
            <w:shd w:val="clear" w:color="auto" w:fill="FFF2CC" w:themeFill="accent4" w:themeFillTint="33"/>
            <w:noWrap/>
            <w:vAlign w:val="center"/>
            <w:hideMark/>
          </w:tcPr>
          <w:p w14:paraId="50736CC5" w14:textId="3041D500" w:rsidR="00EC16E9" w:rsidRPr="004B3E24" w:rsidRDefault="00EC16E9" w:rsidP="00EC16E9">
            <w:pPr>
              <w:spacing w:after="0" w:line="240" w:lineRule="auto"/>
              <w:jc w:val="center"/>
              <w:rPr>
                <w:rFonts w:ascii="Garamond" w:eastAsia="Times New Roman" w:hAnsi="Garamond" w:cs="Calibri"/>
                <w:color w:val="000000"/>
                <w:sz w:val="18"/>
                <w:szCs w:val="18"/>
              </w:rPr>
            </w:pPr>
            <w:r>
              <w:rPr>
                <w:rFonts w:ascii="Garamond" w:eastAsia="Times New Roman" w:hAnsi="Garamond" w:cs="Calibri"/>
                <w:color w:val="000000"/>
                <w:sz w:val="18"/>
                <w:szCs w:val="18"/>
              </w:rPr>
              <w:t>Feb 21</w:t>
            </w:r>
          </w:p>
        </w:tc>
        <w:tc>
          <w:tcPr>
            <w:tcW w:w="2680" w:type="dxa"/>
            <w:shd w:val="clear" w:color="auto" w:fill="FFF2CC" w:themeFill="accent4" w:themeFillTint="33"/>
            <w:vAlign w:val="center"/>
            <w:hideMark/>
          </w:tcPr>
          <w:p w14:paraId="772093AF" w14:textId="3E4C52F8" w:rsidR="00EC16E9" w:rsidRPr="004B3E24" w:rsidRDefault="00EC16E9" w:rsidP="00EC16E9">
            <w:pPr>
              <w:spacing w:after="0" w:line="240" w:lineRule="auto"/>
              <w:rPr>
                <w:rFonts w:ascii="Garamond" w:eastAsia="Times New Roman" w:hAnsi="Garamond" w:cs="Calibri"/>
                <w:color w:val="000000"/>
                <w:sz w:val="18"/>
                <w:szCs w:val="18"/>
              </w:rPr>
            </w:pPr>
            <w:r>
              <w:rPr>
                <w:rFonts w:ascii="Garamond" w:eastAsia="Times New Roman" w:hAnsi="Garamond" w:cs="Calibri"/>
                <w:color w:val="000000"/>
                <w:sz w:val="18"/>
                <w:szCs w:val="18"/>
              </w:rPr>
              <w:t>Distribute PS 1:</w:t>
            </w:r>
            <w:r w:rsidRPr="0041585D">
              <w:rPr>
                <w:rFonts w:ascii="Garamond" w:eastAsia="Times New Roman" w:hAnsi="Garamond" w:cs="Calibri"/>
                <w:color w:val="000000"/>
                <w:sz w:val="18"/>
                <w:szCs w:val="18"/>
              </w:rPr>
              <w:t xml:space="preserve"> Regression discontinuity design (RDD).</w:t>
            </w:r>
          </w:p>
        </w:tc>
        <w:tc>
          <w:tcPr>
            <w:tcW w:w="4243" w:type="dxa"/>
            <w:shd w:val="clear" w:color="auto" w:fill="FFF2CC" w:themeFill="accent4" w:themeFillTint="33"/>
            <w:vAlign w:val="center"/>
            <w:hideMark/>
          </w:tcPr>
          <w:p w14:paraId="11D8D8E0" w14:textId="39868409" w:rsidR="00EC16E9" w:rsidRDefault="001F27C0" w:rsidP="00EC16E9">
            <w:pPr>
              <w:spacing w:after="0" w:line="240" w:lineRule="auto"/>
              <w:rPr>
                <w:rFonts w:ascii="Garamond" w:eastAsia="Times New Roman" w:hAnsi="Garamond" w:cs="Calibri"/>
                <w:color w:val="000000"/>
                <w:sz w:val="18"/>
                <w:szCs w:val="18"/>
              </w:rPr>
            </w:pPr>
            <w:r w:rsidRPr="001F27C0">
              <w:rPr>
                <w:rFonts w:ascii="Garamond" w:eastAsia="Times New Roman" w:hAnsi="Garamond" w:cs="Calibri"/>
                <w:color w:val="000000"/>
                <w:sz w:val="18"/>
                <w:szCs w:val="18"/>
              </w:rPr>
              <w:t>P</w:t>
            </w:r>
            <w:r w:rsidR="00390786">
              <w:rPr>
                <w:rFonts w:ascii="Garamond" w:eastAsia="Times New Roman" w:hAnsi="Garamond" w:cs="Calibri"/>
                <w:color w:val="000000"/>
                <w:sz w:val="18"/>
                <w:szCs w:val="18"/>
              </w:rPr>
              <w:t>5</w:t>
            </w:r>
            <w:r w:rsidRPr="001F27C0">
              <w:rPr>
                <w:rFonts w:ascii="Garamond" w:eastAsia="Times New Roman" w:hAnsi="Garamond" w:cs="Calibri"/>
                <w:color w:val="000000"/>
                <w:sz w:val="18"/>
                <w:szCs w:val="18"/>
              </w:rPr>
              <w:t>: Ludwig, Jens, and Douglas L. Miller. "Does Head Start improve children's life chances? Evidence from a regression discontinuity design." </w:t>
            </w:r>
            <w:r w:rsidRPr="001F27C0">
              <w:rPr>
                <w:rFonts w:ascii="Garamond" w:eastAsia="Times New Roman" w:hAnsi="Garamond" w:cs="Calibri"/>
                <w:i/>
                <w:iCs/>
                <w:color w:val="000000"/>
                <w:sz w:val="18"/>
                <w:szCs w:val="18"/>
              </w:rPr>
              <w:t>The Quarterly journal of economics</w:t>
            </w:r>
            <w:r w:rsidRPr="001F27C0">
              <w:rPr>
                <w:rFonts w:ascii="Garamond" w:eastAsia="Times New Roman" w:hAnsi="Garamond" w:cs="Calibri"/>
                <w:color w:val="000000"/>
                <w:sz w:val="18"/>
                <w:szCs w:val="18"/>
              </w:rPr>
              <w:t> 122.1 (2007): 159-208.</w:t>
            </w:r>
          </w:p>
          <w:p w14:paraId="1EC4A6BA" w14:textId="77777777" w:rsidR="0027358E" w:rsidRDefault="0027358E" w:rsidP="00EC16E9">
            <w:pPr>
              <w:spacing w:after="0" w:line="240" w:lineRule="auto"/>
              <w:rPr>
                <w:rFonts w:ascii="Garamond" w:eastAsia="Times New Roman" w:hAnsi="Garamond" w:cs="Calibri"/>
                <w:color w:val="000000"/>
                <w:sz w:val="18"/>
                <w:szCs w:val="18"/>
              </w:rPr>
            </w:pPr>
          </w:p>
          <w:p w14:paraId="37CEA3C6" w14:textId="7D2B7963" w:rsidR="0027358E" w:rsidRPr="004B3E24" w:rsidRDefault="0027358E" w:rsidP="00EC16E9">
            <w:pPr>
              <w:spacing w:after="0" w:line="240" w:lineRule="auto"/>
              <w:rPr>
                <w:rFonts w:ascii="Garamond" w:eastAsia="Times New Roman" w:hAnsi="Garamond" w:cs="Calibri"/>
                <w:color w:val="000000"/>
                <w:sz w:val="18"/>
                <w:szCs w:val="18"/>
              </w:rPr>
            </w:pPr>
            <w:r w:rsidRPr="0027358E">
              <w:rPr>
                <w:rFonts w:ascii="Garamond" w:eastAsia="Times New Roman" w:hAnsi="Garamond" w:cs="Calibri"/>
                <w:color w:val="000000"/>
                <w:sz w:val="18"/>
                <w:szCs w:val="18"/>
              </w:rPr>
              <w:t>P</w:t>
            </w:r>
            <w:r w:rsidR="00390786">
              <w:rPr>
                <w:rFonts w:ascii="Garamond" w:eastAsia="Times New Roman" w:hAnsi="Garamond" w:cs="Calibri"/>
                <w:color w:val="000000"/>
                <w:sz w:val="18"/>
                <w:szCs w:val="18"/>
              </w:rPr>
              <w:t>6</w:t>
            </w:r>
            <w:r w:rsidRPr="0027358E">
              <w:rPr>
                <w:rFonts w:ascii="Garamond" w:eastAsia="Times New Roman" w:hAnsi="Garamond" w:cs="Calibri"/>
                <w:color w:val="000000"/>
                <w:sz w:val="18"/>
                <w:szCs w:val="18"/>
              </w:rPr>
              <w:t>: Goodman, Joshua, Oded Gurantz, and Jonathan Smith. "Take two! SAT retaking and college enrollment gaps." </w:t>
            </w:r>
            <w:r w:rsidRPr="0027358E">
              <w:rPr>
                <w:rFonts w:ascii="Garamond" w:eastAsia="Times New Roman" w:hAnsi="Garamond" w:cs="Calibri"/>
                <w:i/>
                <w:iCs/>
                <w:color w:val="000000"/>
                <w:sz w:val="18"/>
                <w:szCs w:val="18"/>
              </w:rPr>
              <w:t>American Economic Journal: Economic Policy</w:t>
            </w:r>
            <w:r w:rsidRPr="0027358E">
              <w:rPr>
                <w:rFonts w:ascii="Garamond" w:eastAsia="Times New Roman" w:hAnsi="Garamond" w:cs="Calibri"/>
                <w:color w:val="000000"/>
                <w:sz w:val="18"/>
                <w:szCs w:val="18"/>
              </w:rPr>
              <w:t> 12.2 (2020): 115-58.</w:t>
            </w:r>
          </w:p>
        </w:tc>
        <w:tc>
          <w:tcPr>
            <w:tcW w:w="4238" w:type="dxa"/>
            <w:shd w:val="clear" w:color="auto" w:fill="FFF2CC" w:themeFill="accent4" w:themeFillTint="33"/>
            <w:vAlign w:val="center"/>
          </w:tcPr>
          <w:p w14:paraId="48080666" w14:textId="3E53AC62" w:rsidR="00EC16E9" w:rsidRDefault="00715D04" w:rsidP="00EC16E9">
            <w:pPr>
              <w:spacing w:after="0" w:line="240" w:lineRule="auto"/>
              <w:rPr>
                <w:rFonts w:ascii="Garamond" w:eastAsia="Times New Roman" w:hAnsi="Garamond" w:cs="Calibri"/>
                <w:color w:val="000000"/>
                <w:sz w:val="18"/>
                <w:szCs w:val="18"/>
              </w:rPr>
            </w:pPr>
            <w:r w:rsidRPr="00715D04">
              <w:rPr>
                <w:rFonts w:ascii="Garamond" w:eastAsia="Times New Roman" w:hAnsi="Garamond" w:cs="Calibri"/>
                <w:color w:val="000000"/>
                <w:sz w:val="18"/>
                <w:szCs w:val="18"/>
              </w:rPr>
              <w:t>P</w:t>
            </w:r>
            <w:r w:rsidR="00390786">
              <w:rPr>
                <w:rFonts w:ascii="Garamond" w:eastAsia="Times New Roman" w:hAnsi="Garamond" w:cs="Calibri"/>
                <w:color w:val="000000"/>
                <w:sz w:val="18"/>
                <w:szCs w:val="18"/>
              </w:rPr>
              <w:t>7</w:t>
            </w:r>
            <w:r w:rsidR="00F875E3">
              <w:rPr>
                <w:rFonts w:ascii="Garamond" w:eastAsia="Times New Roman" w:hAnsi="Garamond" w:cs="Calibri"/>
                <w:color w:val="000000"/>
                <w:sz w:val="18"/>
                <w:szCs w:val="18"/>
              </w:rPr>
              <w:t>:</w:t>
            </w:r>
            <w:r w:rsidRPr="00715D04">
              <w:rPr>
                <w:rFonts w:ascii="Garamond" w:eastAsia="Times New Roman" w:hAnsi="Garamond" w:cs="Calibri"/>
                <w:color w:val="000000"/>
                <w:sz w:val="18"/>
                <w:szCs w:val="18"/>
              </w:rPr>
              <w:t xml:space="preserve"> Bonilla, Sade, Thomas S. Dee, and Emily K. Penner. "Ethnic studies increases longer-run academic engagement and attainment." </w:t>
            </w:r>
            <w:r w:rsidRPr="00715D04">
              <w:rPr>
                <w:rFonts w:ascii="Garamond" w:eastAsia="Times New Roman" w:hAnsi="Garamond" w:cs="Calibri"/>
                <w:i/>
                <w:iCs/>
                <w:color w:val="000000"/>
                <w:sz w:val="18"/>
                <w:szCs w:val="18"/>
              </w:rPr>
              <w:t>Proceedings of the National Academy of Sciences</w:t>
            </w:r>
            <w:r w:rsidRPr="00715D04">
              <w:rPr>
                <w:rFonts w:ascii="Garamond" w:eastAsia="Times New Roman" w:hAnsi="Garamond" w:cs="Calibri"/>
                <w:color w:val="000000"/>
                <w:sz w:val="18"/>
                <w:szCs w:val="18"/>
              </w:rPr>
              <w:t> 118.37 (2021).</w:t>
            </w:r>
          </w:p>
          <w:p w14:paraId="185EB9A6" w14:textId="77777777" w:rsidR="0027358E" w:rsidRDefault="0027358E" w:rsidP="00EC16E9">
            <w:pPr>
              <w:spacing w:after="0" w:line="240" w:lineRule="auto"/>
              <w:rPr>
                <w:rFonts w:ascii="Garamond" w:eastAsia="Times New Roman" w:hAnsi="Garamond" w:cs="Calibri"/>
                <w:color w:val="000000"/>
                <w:sz w:val="18"/>
                <w:szCs w:val="18"/>
              </w:rPr>
            </w:pPr>
          </w:p>
          <w:p w14:paraId="0D6DBEDF" w14:textId="139B77CE" w:rsidR="0027358E" w:rsidRPr="004B3E24" w:rsidRDefault="0027358E" w:rsidP="00EC16E9">
            <w:pPr>
              <w:spacing w:after="0" w:line="240" w:lineRule="auto"/>
              <w:rPr>
                <w:rFonts w:ascii="Garamond" w:eastAsia="Times New Roman" w:hAnsi="Garamond" w:cs="Calibri"/>
                <w:color w:val="000000"/>
                <w:sz w:val="18"/>
                <w:szCs w:val="18"/>
              </w:rPr>
            </w:pPr>
            <w:r w:rsidRPr="0027358E">
              <w:rPr>
                <w:rFonts w:ascii="Garamond" w:eastAsia="Times New Roman" w:hAnsi="Garamond" w:cs="Calibri"/>
                <w:color w:val="000000"/>
                <w:sz w:val="18"/>
                <w:szCs w:val="18"/>
              </w:rPr>
              <w:t>P</w:t>
            </w:r>
            <w:r w:rsidR="00390786">
              <w:rPr>
                <w:rFonts w:ascii="Garamond" w:eastAsia="Times New Roman" w:hAnsi="Garamond" w:cs="Calibri"/>
                <w:color w:val="000000"/>
                <w:sz w:val="18"/>
                <w:szCs w:val="18"/>
              </w:rPr>
              <w:t>8</w:t>
            </w:r>
            <w:r w:rsidRPr="0027358E">
              <w:rPr>
                <w:rFonts w:ascii="Garamond" w:eastAsia="Times New Roman" w:hAnsi="Garamond" w:cs="Calibri"/>
                <w:color w:val="000000"/>
                <w:sz w:val="18"/>
                <w:szCs w:val="18"/>
              </w:rPr>
              <w:t>: Sorensen, Lucy C., et al. "The thin blue line in schools: New evidence on school</w:t>
            </w:r>
            <w:r w:rsidRPr="0027358E">
              <w:rPr>
                <w:rFonts w:ascii="Times New Roman" w:eastAsia="Times New Roman" w:hAnsi="Times New Roman" w:cs="Times New Roman"/>
                <w:color w:val="000000"/>
                <w:sz w:val="18"/>
                <w:szCs w:val="18"/>
              </w:rPr>
              <w:t>‐</w:t>
            </w:r>
            <w:r w:rsidRPr="0027358E">
              <w:rPr>
                <w:rFonts w:ascii="Garamond" w:eastAsia="Times New Roman" w:hAnsi="Garamond" w:cs="Calibri"/>
                <w:color w:val="000000"/>
                <w:sz w:val="18"/>
                <w:szCs w:val="18"/>
              </w:rPr>
              <w:t>based policing across the US."</w:t>
            </w:r>
            <w:r w:rsidRPr="0027358E">
              <w:rPr>
                <w:rFonts w:ascii="Garamond" w:eastAsia="Times New Roman" w:hAnsi="Garamond" w:cs="Garamond"/>
                <w:color w:val="000000"/>
                <w:sz w:val="18"/>
                <w:szCs w:val="18"/>
              </w:rPr>
              <w:t> </w:t>
            </w:r>
            <w:r w:rsidRPr="0027358E">
              <w:rPr>
                <w:rFonts w:ascii="Garamond" w:eastAsia="Times New Roman" w:hAnsi="Garamond" w:cs="Calibri"/>
                <w:i/>
                <w:iCs/>
                <w:color w:val="000000"/>
                <w:sz w:val="18"/>
                <w:szCs w:val="18"/>
              </w:rPr>
              <w:t>Journal of Policy Analysis and Management</w:t>
            </w:r>
            <w:r w:rsidRPr="0027358E">
              <w:rPr>
                <w:rFonts w:ascii="Garamond" w:eastAsia="Times New Roman" w:hAnsi="Garamond" w:cs="Calibri"/>
                <w:color w:val="000000"/>
                <w:sz w:val="18"/>
                <w:szCs w:val="18"/>
              </w:rPr>
              <w:t> 42.4 (2023): 941-970.</w:t>
            </w:r>
          </w:p>
        </w:tc>
        <w:tc>
          <w:tcPr>
            <w:tcW w:w="1237" w:type="dxa"/>
            <w:shd w:val="clear" w:color="auto" w:fill="FFF2CC" w:themeFill="accent4" w:themeFillTint="33"/>
            <w:vAlign w:val="center"/>
            <w:hideMark/>
          </w:tcPr>
          <w:p w14:paraId="46401F9E" w14:textId="09413F63" w:rsidR="00EC16E9" w:rsidRPr="004B3E24" w:rsidRDefault="00EC16E9" w:rsidP="00EC16E9">
            <w:pPr>
              <w:spacing w:after="0" w:line="240" w:lineRule="auto"/>
              <w:rPr>
                <w:rFonts w:ascii="Garamond" w:eastAsia="Times New Roman" w:hAnsi="Garamond" w:cs="Calibri"/>
                <w:color w:val="000000"/>
                <w:sz w:val="18"/>
                <w:szCs w:val="18"/>
              </w:rPr>
            </w:pPr>
            <w:r w:rsidRPr="004B3E24">
              <w:rPr>
                <w:rFonts w:ascii="Garamond" w:eastAsia="Times New Roman" w:hAnsi="Garamond" w:cs="Calibri"/>
                <w:color w:val="000000"/>
                <w:sz w:val="18"/>
                <w:szCs w:val="18"/>
              </w:rPr>
              <w:t> </w:t>
            </w:r>
            <w:r w:rsidR="0014218B" w:rsidRPr="0014218B">
              <w:rPr>
                <w:rFonts w:ascii="Garamond" w:eastAsia="Times New Roman" w:hAnsi="Garamond" w:cs="Calibri"/>
                <w:color w:val="000000"/>
                <w:sz w:val="18"/>
                <w:szCs w:val="18"/>
              </w:rPr>
              <w:t>Replication 1 Assigned: Matching &amp; RDD</w:t>
            </w:r>
          </w:p>
        </w:tc>
      </w:tr>
      <w:tr w:rsidR="00EC16E9" w:rsidRPr="004B3E24" w14:paraId="5E09D641" w14:textId="77777777" w:rsidTr="00F875E3">
        <w:trPr>
          <w:trHeight w:val="917"/>
        </w:trPr>
        <w:tc>
          <w:tcPr>
            <w:tcW w:w="642" w:type="dxa"/>
            <w:shd w:val="clear" w:color="auto" w:fill="auto"/>
            <w:noWrap/>
            <w:vAlign w:val="center"/>
            <w:hideMark/>
          </w:tcPr>
          <w:p w14:paraId="03839921" w14:textId="3CA96230" w:rsidR="00EC16E9" w:rsidRPr="004B3E24" w:rsidRDefault="00EC16E9" w:rsidP="00EC16E9">
            <w:pPr>
              <w:spacing w:after="0" w:line="240" w:lineRule="auto"/>
              <w:jc w:val="center"/>
              <w:rPr>
                <w:rFonts w:ascii="Garamond" w:eastAsia="Times New Roman" w:hAnsi="Garamond" w:cs="Calibri"/>
                <w:color w:val="000000"/>
                <w:sz w:val="18"/>
                <w:szCs w:val="18"/>
              </w:rPr>
            </w:pPr>
            <w:r w:rsidRPr="006F5C0E">
              <w:rPr>
                <w:rFonts w:ascii="Garamond" w:eastAsia="Times New Roman" w:hAnsi="Garamond" w:cs="Calibri"/>
                <w:color w:val="000000"/>
                <w:sz w:val="18"/>
                <w:szCs w:val="18"/>
              </w:rPr>
              <w:t>4</w:t>
            </w:r>
          </w:p>
        </w:tc>
        <w:tc>
          <w:tcPr>
            <w:tcW w:w="880" w:type="dxa"/>
            <w:shd w:val="clear" w:color="auto" w:fill="auto"/>
            <w:noWrap/>
            <w:vAlign w:val="center"/>
            <w:hideMark/>
          </w:tcPr>
          <w:p w14:paraId="6A963CDC" w14:textId="36BB4D94" w:rsidR="00EC16E9" w:rsidRPr="004B3E24" w:rsidRDefault="00EC16E9" w:rsidP="00EC16E9">
            <w:pPr>
              <w:spacing w:after="0" w:line="240" w:lineRule="auto"/>
              <w:jc w:val="center"/>
              <w:rPr>
                <w:rFonts w:ascii="Garamond" w:eastAsia="Times New Roman" w:hAnsi="Garamond" w:cs="Calibri"/>
                <w:color w:val="000000"/>
                <w:sz w:val="18"/>
                <w:szCs w:val="18"/>
              </w:rPr>
            </w:pPr>
            <w:r>
              <w:rPr>
                <w:rFonts w:ascii="Garamond" w:eastAsia="Times New Roman" w:hAnsi="Garamond" w:cs="Calibri"/>
                <w:color w:val="000000"/>
                <w:sz w:val="18"/>
                <w:szCs w:val="18"/>
              </w:rPr>
              <w:t>February 28</w:t>
            </w:r>
          </w:p>
        </w:tc>
        <w:tc>
          <w:tcPr>
            <w:tcW w:w="2680" w:type="dxa"/>
            <w:shd w:val="clear" w:color="auto" w:fill="auto"/>
            <w:vAlign w:val="center"/>
            <w:hideMark/>
          </w:tcPr>
          <w:p w14:paraId="20A9B4C4" w14:textId="5A07A116" w:rsidR="00EC16E9" w:rsidRPr="004B3E24" w:rsidRDefault="00EC16E9" w:rsidP="00EC16E9">
            <w:pPr>
              <w:spacing w:after="0" w:line="240" w:lineRule="auto"/>
              <w:rPr>
                <w:rFonts w:ascii="Garamond" w:eastAsia="Times New Roman" w:hAnsi="Garamond" w:cs="Calibri"/>
                <w:color w:val="000000"/>
                <w:sz w:val="18"/>
                <w:szCs w:val="18"/>
              </w:rPr>
            </w:pPr>
            <w:r w:rsidRPr="0041585D">
              <w:rPr>
                <w:rFonts w:ascii="Garamond" w:eastAsia="Times New Roman" w:hAnsi="Garamond" w:cs="Calibri"/>
                <w:color w:val="000000"/>
                <w:sz w:val="18"/>
                <w:szCs w:val="18"/>
              </w:rPr>
              <w:t>Finish RDD. Natural experiments. Instrumental Variables (IV).</w:t>
            </w:r>
          </w:p>
        </w:tc>
        <w:tc>
          <w:tcPr>
            <w:tcW w:w="4243" w:type="dxa"/>
            <w:shd w:val="clear" w:color="auto" w:fill="auto"/>
            <w:vAlign w:val="center"/>
            <w:hideMark/>
          </w:tcPr>
          <w:p w14:paraId="4DCA7666" w14:textId="113B2042" w:rsidR="00EC16E9" w:rsidRDefault="0027358E" w:rsidP="00EC16E9">
            <w:pPr>
              <w:spacing w:after="0" w:line="240" w:lineRule="auto"/>
              <w:rPr>
                <w:rFonts w:ascii="Garamond" w:eastAsia="Times New Roman" w:hAnsi="Garamond" w:cs="Calibri"/>
                <w:color w:val="000000"/>
                <w:sz w:val="18"/>
                <w:szCs w:val="18"/>
              </w:rPr>
            </w:pPr>
            <w:r w:rsidRPr="0027358E">
              <w:rPr>
                <w:rFonts w:ascii="Garamond" w:eastAsia="Times New Roman" w:hAnsi="Garamond" w:cs="Calibri"/>
                <w:color w:val="000000"/>
                <w:sz w:val="18"/>
                <w:szCs w:val="18"/>
              </w:rPr>
              <w:t>P</w:t>
            </w:r>
            <w:r w:rsidR="00202A31">
              <w:rPr>
                <w:rFonts w:ascii="Garamond" w:eastAsia="Times New Roman" w:hAnsi="Garamond" w:cs="Calibri"/>
                <w:color w:val="000000"/>
                <w:sz w:val="18"/>
                <w:szCs w:val="18"/>
              </w:rPr>
              <w:t>9</w:t>
            </w:r>
            <w:r w:rsidRPr="0027358E">
              <w:rPr>
                <w:rFonts w:ascii="Garamond" w:eastAsia="Times New Roman" w:hAnsi="Garamond" w:cs="Calibri"/>
                <w:color w:val="000000"/>
                <w:sz w:val="18"/>
                <w:szCs w:val="18"/>
              </w:rPr>
              <w:t>: Dobbie, Will, and Roland G. Fryer Jr. "Are high-quality schools enough to increase achievement among the poor? Evidence from the Harlem Children's Zone." </w:t>
            </w:r>
            <w:r w:rsidRPr="0027358E">
              <w:rPr>
                <w:rFonts w:ascii="Garamond" w:eastAsia="Times New Roman" w:hAnsi="Garamond" w:cs="Calibri"/>
                <w:i/>
                <w:iCs/>
                <w:color w:val="000000"/>
                <w:sz w:val="18"/>
                <w:szCs w:val="18"/>
              </w:rPr>
              <w:t>American Economic Journal: Applied Economics</w:t>
            </w:r>
            <w:r w:rsidRPr="0027358E">
              <w:rPr>
                <w:rFonts w:ascii="Garamond" w:eastAsia="Times New Roman" w:hAnsi="Garamond" w:cs="Calibri"/>
                <w:color w:val="000000"/>
                <w:sz w:val="18"/>
                <w:szCs w:val="18"/>
              </w:rPr>
              <w:t> 3.3 (2011): 158-87.</w:t>
            </w:r>
          </w:p>
          <w:p w14:paraId="39069D2C" w14:textId="77777777" w:rsidR="00390786" w:rsidRDefault="00390786" w:rsidP="00EC16E9">
            <w:pPr>
              <w:spacing w:after="0" w:line="240" w:lineRule="auto"/>
              <w:rPr>
                <w:rFonts w:ascii="Garamond" w:eastAsia="Times New Roman" w:hAnsi="Garamond" w:cs="Calibri"/>
                <w:color w:val="000000"/>
                <w:sz w:val="18"/>
                <w:szCs w:val="18"/>
              </w:rPr>
            </w:pPr>
          </w:p>
          <w:p w14:paraId="29888BCF" w14:textId="287B499D" w:rsidR="00390786" w:rsidRPr="004B3E24" w:rsidRDefault="00202A31" w:rsidP="00EC16E9">
            <w:pPr>
              <w:spacing w:after="0" w:line="240" w:lineRule="auto"/>
              <w:rPr>
                <w:rFonts w:ascii="Garamond" w:eastAsia="Times New Roman" w:hAnsi="Garamond" w:cs="Calibri"/>
                <w:color w:val="000000"/>
                <w:sz w:val="18"/>
                <w:szCs w:val="18"/>
              </w:rPr>
            </w:pPr>
            <w:r>
              <w:rPr>
                <w:rFonts w:ascii="Garamond" w:eastAsia="Times New Roman" w:hAnsi="Garamond" w:cs="Calibri"/>
                <w:color w:val="000000"/>
                <w:sz w:val="18"/>
                <w:szCs w:val="18"/>
              </w:rPr>
              <w:t xml:space="preserve">P10: </w:t>
            </w:r>
            <w:r w:rsidR="00390786" w:rsidRPr="00390786">
              <w:rPr>
                <w:rFonts w:ascii="Garamond" w:eastAsia="Times New Roman" w:hAnsi="Garamond" w:cs="Calibri"/>
                <w:color w:val="000000"/>
                <w:sz w:val="18"/>
                <w:szCs w:val="18"/>
              </w:rPr>
              <w:t>Ananat, Elizabeth Oltmans. "The wrong side (s) of the tracks: The causal effects of racial segregation on urban poverty and inequality." </w:t>
            </w:r>
            <w:r w:rsidR="00390786" w:rsidRPr="00390786">
              <w:rPr>
                <w:rFonts w:ascii="Garamond" w:eastAsia="Times New Roman" w:hAnsi="Garamond" w:cs="Calibri"/>
                <w:i/>
                <w:iCs/>
                <w:color w:val="000000"/>
                <w:sz w:val="18"/>
                <w:szCs w:val="18"/>
              </w:rPr>
              <w:t>American Economic Journal: Applied Economics</w:t>
            </w:r>
            <w:r w:rsidR="00390786" w:rsidRPr="00390786">
              <w:rPr>
                <w:rFonts w:ascii="Garamond" w:eastAsia="Times New Roman" w:hAnsi="Garamond" w:cs="Calibri"/>
                <w:color w:val="000000"/>
                <w:sz w:val="18"/>
                <w:szCs w:val="18"/>
              </w:rPr>
              <w:t> 3.2 (2011): 34-66.</w:t>
            </w:r>
          </w:p>
        </w:tc>
        <w:tc>
          <w:tcPr>
            <w:tcW w:w="4238" w:type="dxa"/>
            <w:shd w:val="clear" w:color="auto" w:fill="auto"/>
            <w:vAlign w:val="center"/>
          </w:tcPr>
          <w:p w14:paraId="3613DBDA" w14:textId="6AACA19E" w:rsidR="00EC16E9" w:rsidRDefault="001B422B" w:rsidP="00EC16E9">
            <w:pPr>
              <w:spacing w:after="0" w:line="240" w:lineRule="auto"/>
              <w:rPr>
                <w:rFonts w:ascii="Garamond" w:eastAsia="Times New Roman" w:hAnsi="Garamond" w:cs="Calibri"/>
                <w:color w:val="000000"/>
                <w:sz w:val="18"/>
                <w:szCs w:val="18"/>
              </w:rPr>
            </w:pPr>
            <w:r>
              <w:rPr>
                <w:rFonts w:ascii="Garamond" w:eastAsia="Times New Roman" w:hAnsi="Garamond" w:cs="Calibri"/>
                <w:color w:val="000000"/>
                <w:sz w:val="18"/>
                <w:szCs w:val="18"/>
              </w:rPr>
              <w:t>P</w:t>
            </w:r>
            <w:r w:rsidR="00202A31">
              <w:rPr>
                <w:rFonts w:ascii="Garamond" w:eastAsia="Times New Roman" w:hAnsi="Garamond" w:cs="Calibri"/>
                <w:color w:val="000000"/>
                <w:sz w:val="18"/>
                <w:szCs w:val="18"/>
              </w:rPr>
              <w:t>11</w:t>
            </w:r>
            <w:r>
              <w:rPr>
                <w:rFonts w:ascii="Garamond" w:eastAsia="Times New Roman" w:hAnsi="Garamond" w:cs="Calibri"/>
                <w:color w:val="000000"/>
                <w:sz w:val="18"/>
                <w:szCs w:val="18"/>
              </w:rPr>
              <w:t xml:space="preserve">: </w:t>
            </w:r>
            <w:r w:rsidRPr="001B422B">
              <w:rPr>
                <w:rFonts w:ascii="Garamond" w:eastAsia="Times New Roman" w:hAnsi="Garamond" w:cs="Calibri"/>
                <w:color w:val="000000"/>
                <w:sz w:val="18"/>
                <w:szCs w:val="18"/>
              </w:rPr>
              <w:t>Dobbie, Will, Jacob Goldin, and Crystal S. Yang. "The effects of pre-trial detention on conviction, future crime, and employment: Evidence from randomly assigned judges." </w:t>
            </w:r>
            <w:r w:rsidRPr="001B422B">
              <w:rPr>
                <w:rFonts w:ascii="Garamond" w:eastAsia="Times New Roman" w:hAnsi="Garamond" w:cs="Calibri"/>
                <w:i/>
                <w:iCs/>
                <w:color w:val="000000"/>
                <w:sz w:val="18"/>
                <w:szCs w:val="18"/>
              </w:rPr>
              <w:t>American Economic Review</w:t>
            </w:r>
            <w:r w:rsidRPr="001B422B">
              <w:rPr>
                <w:rFonts w:ascii="Garamond" w:eastAsia="Times New Roman" w:hAnsi="Garamond" w:cs="Calibri"/>
                <w:color w:val="000000"/>
                <w:sz w:val="18"/>
                <w:szCs w:val="18"/>
              </w:rPr>
              <w:t> 108.2 (2018): 201-240.</w:t>
            </w:r>
          </w:p>
          <w:p w14:paraId="3FFD2A8B" w14:textId="77777777" w:rsidR="00390786" w:rsidRDefault="00390786" w:rsidP="00EC16E9">
            <w:pPr>
              <w:spacing w:after="0" w:line="240" w:lineRule="auto"/>
              <w:rPr>
                <w:rFonts w:ascii="Garamond" w:eastAsia="Times New Roman" w:hAnsi="Garamond" w:cs="Calibri"/>
                <w:color w:val="000000"/>
                <w:sz w:val="18"/>
                <w:szCs w:val="18"/>
              </w:rPr>
            </w:pPr>
          </w:p>
          <w:p w14:paraId="76685E69" w14:textId="4BCFF035" w:rsidR="00390786" w:rsidRPr="004B3E24" w:rsidRDefault="00202A31" w:rsidP="00EC16E9">
            <w:pPr>
              <w:spacing w:after="0" w:line="240" w:lineRule="auto"/>
              <w:rPr>
                <w:rFonts w:ascii="Garamond" w:eastAsia="Times New Roman" w:hAnsi="Garamond" w:cs="Calibri"/>
                <w:color w:val="000000"/>
                <w:sz w:val="18"/>
                <w:szCs w:val="18"/>
              </w:rPr>
            </w:pPr>
            <w:r>
              <w:rPr>
                <w:rFonts w:ascii="Garamond" w:eastAsia="Times New Roman" w:hAnsi="Garamond" w:cs="Calibri"/>
                <w:color w:val="000000"/>
                <w:sz w:val="18"/>
                <w:szCs w:val="18"/>
              </w:rPr>
              <w:t xml:space="preserve">P12: </w:t>
            </w:r>
            <w:r w:rsidR="00390786" w:rsidRPr="00390786">
              <w:rPr>
                <w:rFonts w:ascii="Garamond" w:eastAsia="Times New Roman" w:hAnsi="Garamond" w:cs="Calibri"/>
                <w:color w:val="000000"/>
                <w:sz w:val="18"/>
                <w:szCs w:val="18"/>
              </w:rPr>
              <w:t>Gross, Max, and E. Jason Baron. "Temporary stays and persistent gains: The causal effects of foster care." </w:t>
            </w:r>
            <w:r w:rsidR="00390786" w:rsidRPr="00390786">
              <w:rPr>
                <w:rFonts w:ascii="Garamond" w:eastAsia="Times New Roman" w:hAnsi="Garamond" w:cs="Calibri"/>
                <w:i/>
                <w:iCs/>
                <w:color w:val="000000"/>
                <w:sz w:val="18"/>
                <w:szCs w:val="18"/>
              </w:rPr>
              <w:t>American Economic Journal: Applied Economics</w:t>
            </w:r>
            <w:r w:rsidR="00390786" w:rsidRPr="00390786">
              <w:rPr>
                <w:rFonts w:ascii="Garamond" w:eastAsia="Times New Roman" w:hAnsi="Garamond" w:cs="Calibri"/>
                <w:color w:val="000000"/>
                <w:sz w:val="18"/>
                <w:szCs w:val="18"/>
              </w:rPr>
              <w:t> 14.2 (2022): 170-199.</w:t>
            </w:r>
          </w:p>
        </w:tc>
        <w:tc>
          <w:tcPr>
            <w:tcW w:w="1237" w:type="dxa"/>
            <w:shd w:val="clear" w:color="auto" w:fill="auto"/>
            <w:vAlign w:val="center"/>
            <w:hideMark/>
          </w:tcPr>
          <w:p w14:paraId="1CFAD6A9" w14:textId="77777777" w:rsidR="00EC16E9" w:rsidRPr="004B3E24" w:rsidRDefault="00EC16E9" w:rsidP="00EC16E9">
            <w:pPr>
              <w:spacing w:after="0" w:line="240" w:lineRule="auto"/>
              <w:rPr>
                <w:rFonts w:ascii="Garamond" w:eastAsia="Times New Roman" w:hAnsi="Garamond" w:cs="Calibri"/>
                <w:color w:val="000000"/>
                <w:sz w:val="18"/>
                <w:szCs w:val="18"/>
              </w:rPr>
            </w:pPr>
            <w:r w:rsidRPr="004B3E24">
              <w:rPr>
                <w:rFonts w:ascii="Garamond" w:eastAsia="Times New Roman" w:hAnsi="Garamond" w:cs="Calibri"/>
                <w:color w:val="000000"/>
                <w:sz w:val="18"/>
                <w:szCs w:val="18"/>
              </w:rPr>
              <w:t> </w:t>
            </w:r>
          </w:p>
        </w:tc>
      </w:tr>
      <w:tr w:rsidR="00EC16E9" w:rsidRPr="004B3E24" w14:paraId="44A55328" w14:textId="77777777" w:rsidTr="00631C70">
        <w:trPr>
          <w:trHeight w:val="485"/>
        </w:trPr>
        <w:tc>
          <w:tcPr>
            <w:tcW w:w="642" w:type="dxa"/>
            <w:shd w:val="clear" w:color="auto" w:fill="EDEDED" w:themeFill="accent3" w:themeFillTint="33"/>
            <w:noWrap/>
            <w:vAlign w:val="center"/>
            <w:hideMark/>
          </w:tcPr>
          <w:p w14:paraId="3A6D52AE" w14:textId="5D37B2D5" w:rsidR="00EC16E9" w:rsidRPr="004B3E24" w:rsidRDefault="00EC16E9" w:rsidP="00EC16E9">
            <w:pPr>
              <w:spacing w:after="0" w:line="240" w:lineRule="auto"/>
              <w:jc w:val="center"/>
              <w:rPr>
                <w:rFonts w:ascii="Garamond" w:eastAsia="Times New Roman" w:hAnsi="Garamond" w:cs="Calibri"/>
                <w:color w:val="000000"/>
                <w:sz w:val="18"/>
                <w:szCs w:val="18"/>
              </w:rPr>
            </w:pPr>
            <w:r w:rsidRPr="006F5C0E">
              <w:rPr>
                <w:rFonts w:ascii="Garamond" w:eastAsia="Times New Roman" w:hAnsi="Garamond" w:cs="Calibri"/>
                <w:color w:val="000000"/>
                <w:sz w:val="18"/>
                <w:szCs w:val="18"/>
              </w:rPr>
              <w:t>5</w:t>
            </w:r>
          </w:p>
        </w:tc>
        <w:tc>
          <w:tcPr>
            <w:tcW w:w="880" w:type="dxa"/>
            <w:shd w:val="clear" w:color="auto" w:fill="EDEDED" w:themeFill="accent3" w:themeFillTint="33"/>
            <w:noWrap/>
            <w:vAlign w:val="center"/>
            <w:hideMark/>
          </w:tcPr>
          <w:p w14:paraId="0F09B99A" w14:textId="40A6BBE2" w:rsidR="00EC16E9" w:rsidRPr="004B3E24" w:rsidRDefault="00EC16E9" w:rsidP="00EC16E9">
            <w:pPr>
              <w:spacing w:after="0" w:line="240" w:lineRule="auto"/>
              <w:jc w:val="center"/>
              <w:rPr>
                <w:rFonts w:ascii="Garamond" w:eastAsia="Times New Roman" w:hAnsi="Garamond" w:cs="Calibri"/>
                <w:color w:val="000000"/>
                <w:sz w:val="18"/>
                <w:szCs w:val="18"/>
              </w:rPr>
            </w:pPr>
            <w:r>
              <w:rPr>
                <w:rFonts w:ascii="Garamond" w:eastAsia="Times New Roman" w:hAnsi="Garamond" w:cs="Calibri"/>
                <w:color w:val="000000"/>
                <w:sz w:val="18"/>
                <w:szCs w:val="18"/>
              </w:rPr>
              <w:t>March 6</w:t>
            </w:r>
          </w:p>
        </w:tc>
        <w:tc>
          <w:tcPr>
            <w:tcW w:w="2680" w:type="dxa"/>
            <w:shd w:val="clear" w:color="auto" w:fill="EDEDED" w:themeFill="accent3" w:themeFillTint="33"/>
            <w:vAlign w:val="center"/>
            <w:hideMark/>
          </w:tcPr>
          <w:p w14:paraId="4998B210" w14:textId="77777777" w:rsidR="00EC16E9" w:rsidRDefault="00EC16E9" w:rsidP="00EC16E9">
            <w:pPr>
              <w:spacing w:after="0" w:line="240" w:lineRule="auto"/>
              <w:rPr>
                <w:rFonts w:ascii="Garamond" w:eastAsia="Times New Roman" w:hAnsi="Garamond" w:cs="Calibri"/>
                <w:color w:val="000000"/>
                <w:sz w:val="18"/>
                <w:szCs w:val="18"/>
              </w:rPr>
            </w:pPr>
            <w:r>
              <w:rPr>
                <w:rFonts w:ascii="Garamond" w:eastAsia="Times New Roman" w:hAnsi="Garamond" w:cs="Calibri"/>
                <w:color w:val="000000"/>
                <w:sz w:val="18"/>
                <w:szCs w:val="18"/>
              </w:rPr>
              <w:t>Present PS</w:t>
            </w:r>
            <w:r w:rsidRPr="006F5C0E">
              <w:rPr>
                <w:rFonts w:ascii="Garamond" w:eastAsia="Times New Roman" w:hAnsi="Garamond" w:cs="Calibri"/>
                <w:color w:val="000000"/>
                <w:sz w:val="18"/>
                <w:szCs w:val="18"/>
              </w:rPr>
              <w:t xml:space="preserve"> 1: </w:t>
            </w:r>
            <w:r>
              <w:rPr>
                <w:rFonts w:ascii="Garamond" w:eastAsia="Times New Roman" w:hAnsi="Garamond" w:cs="Calibri"/>
                <w:color w:val="000000"/>
                <w:sz w:val="18"/>
                <w:szCs w:val="18"/>
              </w:rPr>
              <w:t xml:space="preserve">Matching and </w:t>
            </w:r>
            <w:r w:rsidRPr="006F5C0E">
              <w:rPr>
                <w:rFonts w:ascii="Garamond" w:eastAsia="Times New Roman" w:hAnsi="Garamond" w:cs="Calibri"/>
                <w:color w:val="000000"/>
                <w:sz w:val="18"/>
                <w:szCs w:val="18"/>
              </w:rPr>
              <w:t xml:space="preserve">RDD Presentations </w:t>
            </w:r>
          </w:p>
          <w:p w14:paraId="0321FB00" w14:textId="01F3F3D9" w:rsidR="00EC16E9" w:rsidRPr="004B3E24" w:rsidRDefault="00EC16E9" w:rsidP="00EC16E9">
            <w:pPr>
              <w:spacing w:after="0" w:line="240" w:lineRule="auto"/>
              <w:rPr>
                <w:rFonts w:ascii="Garamond" w:eastAsia="Times New Roman" w:hAnsi="Garamond" w:cs="Calibri"/>
                <w:color w:val="000000"/>
                <w:sz w:val="18"/>
                <w:szCs w:val="18"/>
              </w:rPr>
            </w:pPr>
            <w:r>
              <w:rPr>
                <w:rFonts w:ascii="Garamond" w:eastAsia="Times New Roman" w:hAnsi="Garamond" w:cs="Calibri"/>
                <w:color w:val="000000"/>
                <w:sz w:val="18"/>
                <w:szCs w:val="18"/>
              </w:rPr>
              <w:t>(“presentation session”</w:t>
            </w:r>
            <w:r w:rsidRPr="006F5C0E">
              <w:rPr>
                <w:rFonts w:ascii="Garamond" w:eastAsia="Times New Roman" w:hAnsi="Garamond" w:cs="Calibri"/>
                <w:color w:val="000000"/>
                <w:sz w:val="18"/>
                <w:szCs w:val="18"/>
              </w:rPr>
              <w:t>)</w:t>
            </w:r>
          </w:p>
        </w:tc>
        <w:tc>
          <w:tcPr>
            <w:tcW w:w="4243" w:type="dxa"/>
            <w:shd w:val="clear" w:color="auto" w:fill="EDEDED" w:themeFill="accent3" w:themeFillTint="33"/>
            <w:vAlign w:val="center"/>
            <w:hideMark/>
          </w:tcPr>
          <w:p w14:paraId="49A6EF5D" w14:textId="6AB98802" w:rsidR="00EC16E9" w:rsidRPr="004B3E24" w:rsidRDefault="00EC16E9" w:rsidP="00EC16E9">
            <w:pPr>
              <w:spacing w:after="0" w:line="240" w:lineRule="auto"/>
              <w:rPr>
                <w:rFonts w:ascii="Garamond" w:eastAsia="Times New Roman" w:hAnsi="Garamond" w:cs="Calibri"/>
                <w:color w:val="000000"/>
                <w:sz w:val="18"/>
                <w:szCs w:val="18"/>
              </w:rPr>
            </w:pPr>
          </w:p>
        </w:tc>
        <w:tc>
          <w:tcPr>
            <w:tcW w:w="4238" w:type="dxa"/>
            <w:shd w:val="clear" w:color="auto" w:fill="EDEDED" w:themeFill="accent3" w:themeFillTint="33"/>
            <w:vAlign w:val="center"/>
            <w:hideMark/>
          </w:tcPr>
          <w:p w14:paraId="24399DC1" w14:textId="33EF0A0B" w:rsidR="00EC16E9" w:rsidRPr="00CA733A" w:rsidRDefault="00EC16E9" w:rsidP="00EC16E9">
            <w:pPr>
              <w:spacing w:after="0" w:line="240" w:lineRule="auto"/>
              <w:rPr>
                <w:rFonts w:ascii="Garamond" w:eastAsia="Times New Roman" w:hAnsi="Garamond" w:cs="Calibri"/>
                <w:color w:val="000000"/>
                <w:sz w:val="18"/>
                <w:szCs w:val="18"/>
              </w:rPr>
            </w:pPr>
          </w:p>
        </w:tc>
        <w:tc>
          <w:tcPr>
            <w:tcW w:w="1237" w:type="dxa"/>
            <w:shd w:val="clear" w:color="auto" w:fill="EDEDED" w:themeFill="accent3" w:themeFillTint="33"/>
            <w:vAlign w:val="center"/>
            <w:hideMark/>
          </w:tcPr>
          <w:p w14:paraId="5165ACDC" w14:textId="7BAD5EAD" w:rsidR="00EC16E9" w:rsidRPr="004B3E24" w:rsidRDefault="0014218B" w:rsidP="00EC16E9">
            <w:pPr>
              <w:spacing w:after="0" w:line="240" w:lineRule="auto"/>
              <w:rPr>
                <w:rFonts w:ascii="Garamond" w:eastAsia="Times New Roman" w:hAnsi="Garamond" w:cs="Calibri"/>
                <w:color w:val="000000"/>
                <w:sz w:val="18"/>
                <w:szCs w:val="18"/>
              </w:rPr>
            </w:pPr>
            <w:r w:rsidRPr="0014218B">
              <w:rPr>
                <w:rFonts w:ascii="Garamond" w:eastAsia="Times New Roman" w:hAnsi="Garamond" w:cs="Calibri"/>
                <w:color w:val="000000"/>
                <w:sz w:val="18"/>
                <w:szCs w:val="18"/>
              </w:rPr>
              <w:t>Replication 1 Due &amp; Lab</w:t>
            </w:r>
          </w:p>
        </w:tc>
      </w:tr>
      <w:tr w:rsidR="00F875E3" w:rsidRPr="004B3E24" w14:paraId="25B0A7A1" w14:textId="77777777" w:rsidTr="00631C70">
        <w:trPr>
          <w:trHeight w:val="305"/>
        </w:trPr>
        <w:tc>
          <w:tcPr>
            <w:tcW w:w="642" w:type="dxa"/>
            <w:shd w:val="clear" w:color="auto" w:fill="FFF2CC" w:themeFill="accent4" w:themeFillTint="33"/>
            <w:noWrap/>
            <w:vAlign w:val="center"/>
            <w:hideMark/>
          </w:tcPr>
          <w:p w14:paraId="1573FA34" w14:textId="47687E76" w:rsidR="00F875E3" w:rsidRPr="004B3E24" w:rsidRDefault="00F875E3" w:rsidP="00F875E3">
            <w:pPr>
              <w:spacing w:after="0" w:line="240" w:lineRule="auto"/>
              <w:jc w:val="center"/>
              <w:rPr>
                <w:rFonts w:ascii="Garamond" w:eastAsia="Times New Roman" w:hAnsi="Garamond" w:cs="Calibri"/>
                <w:color w:val="000000"/>
                <w:sz w:val="18"/>
                <w:szCs w:val="18"/>
              </w:rPr>
            </w:pPr>
            <w:r w:rsidRPr="006F5C0E">
              <w:rPr>
                <w:rFonts w:ascii="Garamond" w:eastAsia="Times New Roman" w:hAnsi="Garamond" w:cs="Calibri"/>
                <w:color w:val="000000"/>
                <w:sz w:val="18"/>
                <w:szCs w:val="18"/>
              </w:rPr>
              <w:t>6</w:t>
            </w:r>
          </w:p>
        </w:tc>
        <w:tc>
          <w:tcPr>
            <w:tcW w:w="880" w:type="dxa"/>
            <w:shd w:val="clear" w:color="auto" w:fill="FFF2CC" w:themeFill="accent4" w:themeFillTint="33"/>
            <w:noWrap/>
            <w:vAlign w:val="center"/>
            <w:hideMark/>
          </w:tcPr>
          <w:p w14:paraId="1D525A1C" w14:textId="332D4233" w:rsidR="00F875E3" w:rsidRPr="004B3E24" w:rsidRDefault="00F875E3" w:rsidP="00F875E3">
            <w:pPr>
              <w:spacing w:after="0" w:line="240" w:lineRule="auto"/>
              <w:jc w:val="center"/>
              <w:rPr>
                <w:rFonts w:ascii="Garamond" w:eastAsia="Times New Roman" w:hAnsi="Garamond" w:cs="Calibri"/>
                <w:color w:val="000000"/>
                <w:sz w:val="18"/>
                <w:szCs w:val="18"/>
              </w:rPr>
            </w:pPr>
            <w:r>
              <w:rPr>
                <w:rFonts w:ascii="Garamond" w:eastAsia="Times New Roman" w:hAnsi="Garamond" w:cs="Calibri"/>
                <w:color w:val="000000"/>
                <w:sz w:val="18"/>
                <w:szCs w:val="18"/>
              </w:rPr>
              <w:t>March 13</w:t>
            </w:r>
          </w:p>
        </w:tc>
        <w:tc>
          <w:tcPr>
            <w:tcW w:w="2680" w:type="dxa"/>
            <w:shd w:val="clear" w:color="auto" w:fill="FFF2CC" w:themeFill="accent4" w:themeFillTint="33"/>
            <w:vAlign w:val="center"/>
            <w:hideMark/>
          </w:tcPr>
          <w:p w14:paraId="7B57A701" w14:textId="1DD88D21" w:rsidR="00F875E3" w:rsidRPr="004B3E24" w:rsidRDefault="00F875E3" w:rsidP="00F875E3">
            <w:pPr>
              <w:spacing w:after="0" w:line="240" w:lineRule="auto"/>
              <w:rPr>
                <w:rFonts w:ascii="Garamond" w:eastAsia="Times New Roman" w:hAnsi="Garamond" w:cs="Calibri"/>
                <w:color w:val="000000"/>
                <w:sz w:val="18"/>
                <w:szCs w:val="18"/>
              </w:rPr>
            </w:pPr>
            <w:r>
              <w:rPr>
                <w:rFonts w:ascii="Garamond" w:eastAsia="Times New Roman" w:hAnsi="Garamond" w:cs="Calibri"/>
                <w:color w:val="000000"/>
                <w:sz w:val="18"/>
                <w:szCs w:val="18"/>
              </w:rPr>
              <w:t xml:space="preserve">Distribute PS2: </w:t>
            </w:r>
            <w:r w:rsidRPr="006F5C0E">
              <w:rPr>
                <w:rFonts w:ascii="Garamond" w:eastAsia="Times New Roman" w:hAnsi="Garamond" w:cs="Calibri"/>
                <w:color w:val="000000"/>
                <w:sz w:val="18"/>
                <w:szCs w:val="18"/>
              </w:rPr>
              <w:t>Instrumental Variables.</w:t>
            </w:r>
          </w:p>
        </w:tc>
        <w:tc>
          <w:tcPr>
            <w:tcW w:w="4243" w:type="dxa"/>
            <w:shd w:val="clear" w:color="auto" w:fill="FFF2CC" w:themeFill="accent4" w:themeFillTint="33"/>
            <w:vAlign w:val="center"/>
          </w:tcPr>
          <w:p w14:paraId="6CAED276" w14:textId="13B87FC0" w:rsidR="00F875E3" w:rsidRPr="004B3E24" w:rsidRDefault="00F875E3" w:rsidP="00F875E3">
            <w:pPr>
              <w:spacing w:after="0" w:line="240" w:lineRule="auto"/>
              <w:rPr>
                <w:rFonts w:ascii="Garamond" w:eastAsia="Times New Roman" w:hAnsi="Garamond" w:cs="Calibri"/>
                <w:color w:val="000000"/>
                <w:sz w:val="18"/>
                <w:szCs w:val="18"/>
              </w:rPr>
            </w:pPr>
            <w:r w:rsidRPr="001F27C0">
              <w:rPr>
                <w:rFonts w:ascii="Garamond" w:eastAsia="Times New Roman" w:hAnsi="Garamond" w:cs="Calibri"/>
                <w:color w:val="000000"/>
                <w:sz w:val="18"/>
                <w:szCs w:val="18"/>
              </w:rPr>
              <w:t>P</w:t>
            </w:r>
            <w:r w:rsidR="006B1737">
              <w:rPr>
                <w:rFonts w:ascii="Garamond" w:eastAsia="Times New Roman" w:hAnsi="Garamond" w:cs="Calibri"/>
                <w:color w:val="000000"/>
                <w:sz w:val="18"/>
                <w:szCs w:val="18"/>
              </w:rPr>
              <w:t>13</w:t>
            </w:r>
            <w:r w:rsidRPr="001F27C0">
              <w:rPr>
                <w:rFonts w:ascii="Garamond" w:eastAsia="Times New Roman" w:hAnsi="Garamond" w:cs="Calibri"/>
                <w:color w:val="000000"/>
                <w:sz w:val="18"/>
                <w:szCs w:val="18"/>
              </w:rPr>
              <w:t>: Angrist, Joshua D., and Peter Hull. "Instrumental variables methods reconcile intention-to-screen effects across pragmatic cancer screening trials." </w:t>
            </w:r>
            <w:r w:rsidRPr="001F27C0">
              <w:rPr>
                <w:rFonts w:ascii="Garamond" w:eastAsia="Times New Roman" w:hAnsi="Garamond" w:cs="Calibri"/>
                <w:i/>
                <w:iCs/>
                <w:color w:val="000000"/>
                <w:sz w:val="18"/>
                <w:szCs w:val="18"/>
              </w:rPr>
              <w:t>Proceedings of the National Academy of Sciences</w:t>
            </w:r>
            <w:r w:rsidRPr="001F27C0">
              <w:rPr>
                <w:rFonts w:ascii="Garamond" w:eastAsia="Times New Roman" w:hAnsi="Garamond" w:cs="Calibri"/>
                <w:color w:val="000000"/>
                <w:sz w:val="18"/>
                <w:szCs w:val="18"/>
              </w:rPr>
              <w:t> 120.51 (2023): e2311556120.</w:t>
            </w:r>
          </w:p>
        </w:tc>
        <w:tc>
          <w:tcPr>
            <w:tcW w:w="4238" w:type="dxa"/>
            <w:shd w:val="clear" w:color="auto" w:fill="FFF2CC" w:themeFill="accent4" w:themeFillTint="33"/>
            <w:vAlign w:val="center"/>
            <w:hideMark/>
          </w:tcPr>
          <w:p w14:paraId="09CCF7E0" w14:textId="14FD2043" w:rsidR="00F875E3" w:rsidRPr="004B3E24" w:rsidRDefault="00F875E3" w:rsidP="00F875E3">
            <w:pPr>
              <w:spacing w:after="0" w:line="240" w:lineRule="auto"/>
              <w:rPr>
                <w:rFonts w:ascii="Garamond" w:eastAsia="Times New Roman" w:hAnsi="Garamond" w:cs="Calibri"/>
                <w:color w:val="000000"/>
                <w:sz w:val="18"/>
                <w:szCs w:val="18"/>
              </w:rPr>
            </w:pPr>
            <w:r>
              <w:rPr>
                <w:rFonts w:ascii="Garamond" w:eastAsia="Times New Roman" w:hAnsi="Garamond" w:cs="Calibri"/>
                <w:color w:val="000000"/>
                <w:sz w:val="18"/>
                <w:szCs w:val="18"/>
              </w:rPr>
              <w:t>P</w:t>
            </w:r>
            <w:r w:rsidR="009C314D">
              <w:rPr>
                <w:rFonts w:ascii="Garamond" w:eastAsia="Times New Roman" w:hAnsi="Garamond" w:cs="Calibri"/>
                <w:color w:val="000000"/>
                <w:sz w:val="18"/>
                <w:szCs w:val="18"/>
              </w:rPr>
              <w:t>1</w:t>
            </w:r>
            <w:r w:rsidR="006B1737">
              <w:rPr>
                <w:rFonts w:ascii="Garamond" w:eastAsia="Times New Roman" w:hAnsi="Garamond" w:cs="Calibri"/>
                <w:color w:val="000000"/>
                <w:sz w:val="18"/>
                <w:szCs w:val="18"/>
              </w:rPr>
              <w:t>4</w:t>
            </w:r>
            <w:r w:rsidR="00045682">
              <w:rPr>
                <w:rFonts w:ascii="Garamond" w:eastAsia="Times New Roman" w:hAnsi="Garamond" w:cs="Calibri"/>
                <w:color w:val="000000"/>
                <w:sz w:val="18"/>
                <w:szCs w:val="18"/>
              </w:rPr>
              <w:t>:</w:t>
            </w:r>
            <w:r>
              <w:rPr>
                <w:rFonts w:ascii="Garamond" w:eastAsia="Times New Roman" w:hAnsi="Garamond" w:cs="Calibri"/>
                <w:color w:val="000000"/>
                <w:sz w:val="18"/>
                <w:szCs w:val="18"/>
              </w:rPr>
              <w:t xml:space="preserve"> </w:t>
            </w:r>
            <w:r w:rsidRPr="00F875E3">
              <w:rPr>
                <w:rFonts w:ascii="Garamond" w:eastAsia="Times New Roman" w:hAnsi="Garamond" w:cs="Calibri"/>
                <w:color w:val="000000"/>
                <w:sz w:val="18"/>
                <w:szCs w:val="18"/>
              </w:rPr>
              <w:t>Mellon, Jonathan. "Rain, Rain, Go Away: 195 Potential Exclusion-Restriction Violations for Studies Using Weather as an Instrumental Variable." </w:t>
            </w:r>
            <w:r w:rsidRPr="00F875E3">
              <w:rPr>
                <w:rFonts w:ascii="Garamond" w:eastAsia="Times New Roman" w:hAnsi="Garamond" w:cs="Calibri"/>
                <w:i/>
                <w:iCs/>
                <w:color w:val="000000"/>
                <w:sz w:val="18"/>
                <w:szCs w:val="18"/>
              </w:rPr>
              <w:t>Available at SSRN 3715610</w:t>
            </w:r>
            <w:r w:rsidRPr="00F875E3">
              <w:rPr>
                <w:rFonts w:ascii="Garamond" w:eastAsia="Times New Roman" w:hAnsi="Garamond" w:cs="Calibri"/>
                <w:color w:val="000000"/>
                <w:sz w:val="18"/>
                <w:szCs w:val="18"/>
              </w:rPr>
              <w:t> (2023).</w:t>
            </w:r>
          </w:p>
        </w:tc>
        <w:tc>
          <w:tcPr>
            <w:tcW w:w="1237" w:type="dxa"/>
            <w:shd w:val="clear" w:color="auto" w:fill="FFF2CC" w:themeFill="accent4" w:themeFillTint="33"/>
            <w:vAlign w:val="center"/>
            <w:hideMark/>
          </w:tcPr>
          <w:p w14:paraId="174DFB5C" w14:textId="6E7FE69F" w:rsidR="00F875E3" w:rsidRPr="004B3E24" w:rsidRDefault="00F875E3" w:rsidP="00F875E3">
            <w:pPr>
              <w:spacing w:after="0" w:line="240" w:lineRule="auto"/>
              <w:rPr>
                <w:rFonts w:ascii="Garamond" w:eastAsia="Times New Roman" w:hAnsi="Garamond" w:cs="Calibri"/>
                <w:color w:val="000000"/>
                <w:sz w:val="18"/>
                <w:szCs w:val="18"/>
              </w:rPr>
            </w:pPr>
            <w:r w:rsidRPr="004B3E24">
              <w:rPr>
                <w:rFonts w:ascii="Garamond" w:eastAsia="Times New Roman" w:hAnsi="Garamond" w:cs="Calibri"/>
                <w:color w:val="000000"/>
                <w:sz w:val="18"/>
                <w:szCs w:val="18"/>
              </w:rPr>
              <w:t> </w:t>
            </w:r>
            <w:r w:rsidR="0014218B" w:rsidRPr="0014218B">
              <w:rPr>
                <w:rFonts w:ascii="Garamond" w:eastAsia="Times New Roman" w:hAnsi="Garamond" w:cs="Calibri"/>
                <w:color w:val="000000"/>
                <w:sz w:val="18"/>
                <w:szCs w:val="18"/>
              </w:rPr>
              <w:t>Replication 2 Assigned: IV</w:t>
            </w:r>
          </w:p>
        </w:tc>
      </w:tr>
      <w:tr w:rsidR="00F875E3" w:rsidRPr="004B3E24" w14:paraId="08FCCC29" w14:textId="77777777" w:rsidTr="00631C70">
        <w:trPr>
          <w:trHeight w:val="720"/>
        </w:trPr>
        <w:tc>
          <w:tcPr>
            <w:tcW w:w="642" w:type="dxa"/>
            <w:shd w:val="clear" w:color="auto" w:fill="auto"/>
            <w:noWrap/>
            <w:vAlign w:val="center"/>
            <w:hideMark/>
          </w:tcPr>
          <w:p w14:paraId="051B8F9A" w14:textId="4E0E532A" w:rsidR="00F875E3" w:rsidRPr="004B3E24" w:rsidRDefault="00F875E3" w:rsidP="00F875E3">
            <w:pPr>
              <w:spacing w:after="0" w:line="240" w:lineRule="auto"/>
              <w:jc w:val="center"/>
              <w:rPr>
                <w:rFonts w:ascii="Garamond" w:eastAsia="Times New Roman" w:hAnsi="Garamond" w:cs="Calibri"/>
                <w:color w:val="000000"/>
                <w:sz w:val="18"/>
                <w:szCs w:val="18"/>
              </w:rPr>
            </w:pPr>
            <w:r w:rsidRPr="006F5C0E">
              <w:rPr>
                <w:rFonts w:ascii="Garamond" w:eastAsia="Times New Roman" w:hAnsi="Garamond" w:cs="Calibri"/>
                <w:color w:val="000000"/>
                <w:sz w:val="18"/>
                <w:szCs w:val="18"/>
              </w:rPr>
              <w:t>7</w:t>
            </w:r>
          </w:p>
        </w:tc>
        <w:tc>
          <w:tcPr>
            <w:tcW w:w="880" w:type="dxa"/>
            <w:shd w:val="clear" w:color="auto" w:fill="auto"/>
            <w:noWrap/>
            <w:vAlign w:val="center"/>
            <w:hideMark/>
          </w:tcPr>
          <w:p w14:paraId="0D60BEB2" w14:textId="0FEFA4F1" w:rsidR="00F875E3" w:rsidRPr="004B3E24" w:rsidRDefault="00F875E3" w:rsidP="00F875E3">
            <w:pPr>
              <w:spacing w:after="0" w:line="240" w:lineRule="auto"/>
              <w:jc w:val="center"/>
              <w:rPr>
                <w:rFonts w:ascii="Garamond" w:eastAsia="Times New Roman" w:hAnsi="Garamond" w:cs="Calibri"/>
                <w:color w:val="000000"/>
                <w:sz w:val="18"/>
                <w:szCs w:val="18"/>
              </w:rPr>
            </w:pPr>
            <w:r>
              <w:rPr>
                <w:rFonts w:ascii="Garamond" w:eastAsia="Times New Roman" w:hAnsi="Garamond" w:cs="Calibri"/>
                <w:color w:val="000000"/>
                <w:sz w:val="18"/>
                <w:szCs w:val="18"/>
              </w:rPr>
              <w:t>March 20</w:t>
            </w:r>
          </w:p>
        </w:tc>
        <w:tc>
          <w:tcPr>
            <w:tcW w:w="2680" w:type="dxa"/>
            <w:shd w:val="clear" w:color="auto" w:fill="auto"/>
            <w:vAlign w:val="center"/>
            <w:hideMark/>
          </w:tcPr>
          <w:p w14:paraId="53806B89" w14:textId="14BCC78C" w:rsidR="00F875E3" w:rsidRPr="004B3E24" w:rsidRDefault="00F875E3" w:rsidP="00F875E3">
            <w:pPr>
              <w:spacing w:after="0" w:line="240" w:lineRule="auto"/>
              <w:rPr>
                <w:rFonts w:ascii="Garamond" w:eastAsia="Times New Roman" w:hAnsi="Garamond" w:cs="Calibri"/>
                <w:color w:val="000000"/>
                <w:sz w:val="18"/>
                <w:szCs w:val="18"/>
              </w:rPr>
            </w:pPr>
            <w:r w:rsidRPr="006F5C0E">
              <w:rPr>
                <w:rFonts w:ascii="Garamond" w:eastAsia="Times New Roman" w:hAnsi="Garamond" w:cs="Calibri"/>
                <w:color w:val="000000"/>
                <w:sz w:val="18"/>
                <w:szCs w:val="18"/>
              </w:rPr>
              <w:t xml:space="preserve">Panel data. Difference-in-differences. </w:t>
            </w:r>
            <w:r>
              <w:rPr>
                <w:rFonts w:ascii="Garamond" w:eastAsia="Times New Roman" w:hAnsi="Garamond" w:cs="Calibri"/>
                <w:color w:val="000000"/>
                <w:sz w:val="18"/>
                <w:szCs w:val="18"/>
              </w:rPr>
              <w:t>Comparative interrupted time series</w:t>
            </w:r>
            <w:r w:rsidRPr="006F5C0E">
              <w:rPr>
                <w:rFonts w:ascii="Garamond" w:eastAsia="Times New Roman" w:hAnsi="Garamond" w:cs="Calibri"/>
                <w:color w:val="000000"/>
                <w:sz w:val="18"/>
                <w:szCs w:val="18"/>
              </w:rPr>
              <w:t xml:space="preserve">. </w:t>
            </w:r>
          </w:p>
        </w:tc>
        <w:tc>
          <w:tcPr>
            <w:tcW w:w="4243" w:type="dxa"/>
            <w:shd w:val="clear" w:color="auto" w:fill="auto"/>
            <w:vAlign w:val="center"/>
            <w:hideMark/>
          </w:tcPr>
          <w:p w14:paraId="7CAB799B" w14:textId="0D9BAF72" w:rsidR="00F875E3" w:rsidRDefault="00AE3028" w:rsidP="00F875E3">
            <w:pPr>
              <w:spacing w:after="0" w:line="240" w:lineRule="auto"/>
              <w:rPr>
                <w:rFonts w:ascii="Garamond" w:eastAsia="Times New Roman" w:hAnsi="Garamond" w:cs="Calibri"/>
                <w:color w:val="000000"/>
                <w:sz w:val="18"/>
                <w:szCs w:val="18"/>
              </w:rPr>
            </w:pPr>
            <w:r w:rsidRPr="00AE3028">
              <w:rPr>
                <w:rFonts w:ascii="Garamond" w:eastAsia="Times New Roman" w:hAnsi="Garamond" w:cs="Calibri"/>
                <w:color w:val="000000"/>
                <w:sz w:val="18"/>
                <w:szCs w:val="18"/>
              </w:rPr>
              <w:t>P1</w:t>
            </w:r>
            <w:r w:rsidR="006B1737">
              <w:rPr>
                <w:rFonts w:ascii="Garamond" w:eastAsia="Times New Roman" w:hAnsi="Garamond" w:cs="Calibri"/>
                <w:color w:val="000000"/>
                <w:sz w:val="18"/>
                <w:szCs w:val="18"/>
              </w:rPr>
              <w:t>5</w:t>
            </w:r>
            <w:r w:rsidRPr="00AE3028">
              <w:rPr>
                <w:rFonts w:ascii="Garamond" w:eastAsia="Times New Roman" w:hAnsi="Garamond" w:cs="Calibri"/>
                <w:color w:val="000000"/>
                <w:sz w:val="18"/>
                <w:szCs w:val="18"/>
              </w:rPr>
              <w:t>. Cengiz, Doruk, et al. "The effect of minimum wages on low-wage jobs." </w:t>
            </w:r>
            <w:r w:rsidRPr="00AE3028">
              <w:rPr>
                <w:rFonts w:ascii="Garamond" w:eastAsia="Times New Roman" w:hAnsi="Garamond" w:cs="Calibri"/>
                <w:i/>
                <w:iCs/>
                <w:color w:val="000000"/>
                <w:sz w:val="18"/>
                <w:szCs w:val="18"/>
              </w:rPr>
              <w:t>The Quarterly Journal of Economics</w:t>
            </w:r>
            <w:r w:rsidRPr="00AE3028">
              <w:rPr>
                <w:rFonts w:ascii="Garamond" w:eastAsia="Times New Roman" w:hAnsi="Garamond" w:cs="Calibri"/>
                <w:color w:val="000000"/>
                <w:sz w:val="18"/>
                <w:szCs w:val="18"/>
              </w:rPr>
              <w:t> 134.3 (2019): 1405-1454.</w:t>
            </w:r>
          </w:p>
          <w:p w14:paraId="16F127F7" w14:textId="77777777" w:rsidR="003E7035" w:rsidRDefault="003E7035" w:rsidP="00F875E3">
            <w:pPr>
              <w:spacing w:after="0" w:line="240" w:lineRule="auto"/>
              <w:rPr>
                <w:rFonts w:ascii="Garamond" w:eastAsia="Times New Roman" w:hAnsi="Garamond" w:cs="Calibri"/>
                <w:color w:val="000000"/>
                <w:sz w:val="18"/>
                <w:szCs w:val="18"/>
              </w:rPr>
            </w:pPr>
          </w:p>
          <w:p w14:paraId="00AA3B71" w14:textId="13257439" w:rsidR="003E7035" w:rsidRPr="004B3E24" w:rsidRDefault="003E7035" w:rsidP="00F875E3">
            <w:pPr>
              <w:spacing w:after="0" w:line="240" w:lineRule="auto"/>
              <w:rPr>
                <w:rFonts w:ascii="Garamond" w:eastAsia="Times New Roman" w:hAnsi="Garamond" w:cs="Calibri"/>
                <w:color w:val="000000"/>
                <w:sz w:val="18"/>
                <w:szCs w:val="18"/>
              </w:rPr>
            </w:pPr>
            <w:r w:rsidRPr="003E7035">
              <w:rPr>
                <w:rFonts w:ascii="Garamond" w:eastAsia="Times New Roman" w:hAnsi="Garamond" w:cs="Calibri"/>
                <w:color w:val="000000"/>
                <w:sz w:val="18"/>
                <w:szCs w:val="18"/>
              </w:rPr>
              <w:t>P1</w:t>
            </w:r>
            <w:r w:rsidR="006B1737">
              <w:rPr>
                <w:rFonts w:ascii="Garamond" w:eastAsia="Times New Roman" w:hAnsi="Garamond" w:cs="Calibri"/>
                <w:color w:val="000000"/>
                <w:sz w:val="18"/>
                <w:szCs w:val="18"/>
              </w:rPr>
              <w:t>6</w:t>
            </w:r>
            <w:r w:rsidRPr="003E7035">
              <w:rPr>
                <w:rFonts w:ascii="Garamond" w:eastAsia="Times New Roman" w:hAnsi="Garamond" w:cs="Calibri"/>
                <w:color w:val="000000"/>
                <w:sz w:val="18"/>
                <w:szCs w:val="18"/>
              </w:rPr>
              <w:t>: Jackson, C. Kirabo, Cora Wigger, and Heyu Xiong. "Do school spending cuts matter? Evidence from the Great Recession." </w:t>
            </w:r>
            <w:r w:rsidRPr="003E7035">
              <w:rPr>
                <w:rFonts w:ascii="Garamond" w:eastAsia="Times New Roman" w:hAnsi="Garamond" w:cs="Calibri"/>
                <w:i/>
                <w:iCs/>
                <w:color w:val="000000"/>
                <w:sz w:val="18"/>
                <w:szCs w:val="18"/>
              </w:rPr>
              <w:t>American Economic Journal: Economic Policy</w:t>
            </w:r>
            <w:r w:rsidRPr="003E7035">
              <w:rPr>
                <w:rFonts w:ascii="Garamond" w:eastAsia="Times New Roman" w:hAnsi="Garamond" w:cs="Calibri"/>
                <w:color w:val="000000"/>
                <w:sz w:val="18"/>
                <w:szCs w:val="18"/>
              </w:rPr>
              <w:t> 13.2 (2021): 304-35.</w:t>
            </w:r>
          </w:p>
        </w:tc>
        <w:tc>
          <w:tcPr>
            <w:tcW w:w="4238" w:type="dxa"/>
            <w:shd w:val="clear" w:color="auto" w:fill="auto"/>
            <w:vAlign w:val="center"/>
            <w:hideMark/>
          </w:tcPr>
          <w:p w14:paraId="6C4FF20B" w14:textId="57CB8B8D" w:rsidR="00F875E3" w:rsidRDefault="00F875E3" w:rsidP="00F875E3">
            <w:pPr>
              <w:spacing w:after="0" w:line="240" w:lineRule="auto"/>
              <w:rPr>
                <w:rFonts w:ascii="Garamond" w:eastAsia="Times New Roman" w:hAnsi="Garamond" w:cs="Calibri"/>
                <w:color w:val="000000"/>
                <w:sz w:val="18"/>
                <w:szCs w:val="18"/>
              </w:rPr>
            </w:pPr>
            <w:r w:rsidRPr="004B3E24">
              <w:rPr>
                <w:rFonts w:ascii="Garamond" w:eastAsia="Times New Roman" w:hAnsi="Garamond" w:cs="Calibri"/>
                <w:color w:val="000000"/>
                <w:sz w:val="18"/>
                <w:szCs w:val="18"/>
              </w:rPr>
              <w:t> </w:t>
            </w:r>
            <w:r w:rsidR="009F2A88" w:rsidRPr="009F2A88">
              <w:rPr>
                <w:rFonts w:ascii="Garamond" w:eastAsia="Times New Roman" w:hAnsi="Garamond" w:cs="Calibri"/>
                <w:color w:val="000000"/>
                <w:sz w:val="18"/>
                <w:szCs w:val="18"/>
              </w:rPr>
              <w:t>P1</w:t>
            </w:r>
            <w:r w:rsidR="006B1737">
              <w:rPr>
                <w:rFonts w:ascii="Garamond" w:eastAsia="Times New Roman" w:hAnsi="Garamond" w:cs="Calibri"/>
                <w:color w:val="000000"/>
                <w:sz w:val="18"/>
                <w:szCs w:val="18"/>
              </w:rPr>
              <w:t>7</w:t>
            </w:r>
            <w:r w:rsidR="009F2A88" w:rsidRPr="009F2A88">
              <w:rPr>
                <w:rFonts w:ascii="Garamond" w:eastAsia="Times New Roman" w:hAnsi="Garamond" w:cs="Calibri"/>
                <w:color w:val="000000"/>
                <w:sz w:val="18"/>
                <w:szCs w:val="18"/>
              </w:rPr>
              <w:t>: Machin, Stephen, Sandra McNally, and Martina Viarengo. "Changing how literacy is taught: evidence on synthetic phonics." </w:t>
            </w:r>
            <w:r w:rsidR="009F2A88" w:rsidRPr="009F2A88">
              <w:rPr>
                <w:rFonts w:ascii="Garamond" w:eastAsia="Times New Roman" w:hAnsi="Garamond" w:cs="Calibri"/>
                <w:i/>
                <w:iCs/>
                <w:color w:val="000000"/>
                <w:sz w:val="18"/>
                <w:szCs w:val="18"/>
              </w:rPr>
              <w:t>American Economic Journal: Economic Policy</w:t>
            </w:r>
            <w:r w:rsidR="009F2A88" w:rsidRPr="009F2A88">
              <w:rPr>
                <w:rFonts w:ascii="Garamond" w:eastAsia="Times New Roman" w:hAnsi="Garamond" w:cs="Calibri"/>
                <w:color w:val="000000"/>
                <w:sz w:val="18"/>
                <w:szCs w:val="18"/>
              </w:rPr>
              <w:t> 10.2 (2018): 217-41.</w:t>
            </w:r>
          </w:p>
          <w:p w14:paraId="39BC0ECF" w14:textId="77777777" w:rsidR="009F2A88" w:rsidRDefault="009F2A88" w:rsidP="00F875E3">
            <w:pPr>
              <w:spacing w:after="0" w:line="240" w:lineRule="auto"/>
              <w:rPr>
                <w:rFonts w:ascii="Garamond" w:eastAsia="Times New Roman" w:hAnsi="Garamond" w:cs="Calibri"/>
                <w:color w:val="000000"/>
                <w:sz w:val="18"/>
                <w:szCs w:val="18"/>
              </w:rPr>
            </w:pPr>
          </w:p>
          <w:p w14:paraId="1DB71B45" w14:textId="6BB9823D" w:rsidR="009F2A88" w:rsidRPr="004B3E24" w:rsidRDefault="009F2A88" w:rsidP="00F875E3">
            <w:pPr>
              <w:spacing w:after="0" w:line="240" w:lineRule="auto"/>
              <w:rPr>
                <w:rFonts w:ascii="Garamond" w:eastAsia="Times New Roman" w:hAnsi="Garamond" w:cs="Calibri"/>
                <w:color w:val="000000"/>
                <w:sz w:val="18"/>
                <w:szCs w:val="18"/>
              </w:rPr>
            </w:pPr>
            <w:r w:rsidRPr="009F2A88">
              <w:rPr>
                <w:rFonts w:ascii="Garamond" w:eastAsia="Times New Roman" w:hAnsi="Garamond" w:cs="Calibri"/>
                <w:color w:val="000000"/>
                <w:sz w:val="18"/>
                <w:szCs w:val="18"/>
              </w:rPr>
              <w:t>P1</w:t>
            </w:r>
            <w:r w:rsidR="006B1737">
              <w:rPr>
                <w:rFonts w:ascii="Garamond" w:eastAsia="Times New Roman" w:hAnsi="Garamond" w:cs="Calibri"/>
                <w:color w:val="000000"/>
                <w:sz w:val="18"/>
                <w:szCs w:val="18"/>
              </w:rPr>
              <w:t>8</w:t>
            </w:r>
            <w:r w:rsidRPr="009F2A88">
              <w:rPr>
                <w:rFonts w:ascii="Garamond" w:eastAsia="Times New Roman" w:hAnsi="Garamond" w:cs="Calibri"/>
                <w:color w:val="000000"/>
                <w:sz w:val="18"/>
                <w:szCs w:val="18"/>
              </w:rPr>
              <w:t>: Dee, Thomas S., and Brian Jacob. "The impact of No Child Left Behind on student achievement." </w:t>
            </w:r>
            <w:r w:rsidRPr="009F2A88">
              <w:rPr>
                <w:rFonts w:ascii="Garamond" w:eastAsia="Times New Roman" w:hAnsi="Garamond" w:cs="Calibri"/>
                <w:i/>
                <w:iCs/>
                <w:color w:val="000000"/>
                <w:sz w:val="18"/>
                <w:szCs w:val="18"/>
              </w:rPr>
              <w:t>Journal of Policy Analysis and management</w:t>
            </w:r>
            <w:r w:rsidRPr="009F2A88">
              <w:rPr>
                <w:rFonts w:ascii="Garamond" w:eastAsia="Times New Roman" w:hAnsi="Garamond" w:cs="Calibri"/>
                <w:color w:val="000000"/>
                <w:sz w:val="18"/>
                <w:szCs w:val="18"/>
              </w:rPr>
              <w:t> 30.3 (2011): 418-446.</w:t>
            </w:r>
          </w:p>
        </w:tc>
        <w:tc>
          <w:tcPr>
            <w:tcW w:w="1237" w:type="dxa"/>
            <w:shd w:val="clear" w:color="auto" w:fill="auto"/>
            <w:vAlign w:val="center"/>
            <w:hideMark/>
          </w:tcPr>
          <w:p w14:paraId="149DE8E8" w14:textId="3CF9B3B0" w:rsidR="00F875E3" w:rsidRPr="004B3E24" w:rsidRDefault="00F875E3" w:rsidP="00F875E3">
            <w:pPr>
              <w:spacing w:after="0" w:line="240" w:lineRule="auto"/>
              <w:rPr>
                <w:rFonts w:ascii="Garamond" w:eastAsia="Times New Roman" w:hAnsi="Garamond" w:cs="Calibri"/>
                <w:color w:val="000000"/>
                <w:sz w:val="18"/>
                <w:szCs w:val="18"/>
              </w:rPr>
            </w:pPr>
          </w:p>
        </w:tc>
      </w:tr>
      <w:tr w:rsidR="00F875E3" w:rsidRPr="004B3E24" w14:paraId="4114C68A" w14:textId="77777777" w:rsidTr="00631C70">
        <w:trPr>
          <w:trHeight w:val="458"/>
        </w:trPr>
        <w:tc>
          <w:tcPr>
            <w:tcW w:w="642" w:type="dxa"/>
            <w:shd w:val="clear" w:color="auto" w:fill="E2EFD9" w:themeFill="accent6" w:themeFillTint="33"/>
            <w:noWrap/>
            <w:vAlign w:val="center"/>
            <w:hideMark/>
          </w:tcPr>
          <w:p w14:paraId="653101BE" w14:textId="067BAA2D" w:rsidR="00F875E3" w:rsidRPr="004B3E24" w:rsidRDefault="00F875E3" w:rsidP="00F875E3">
            <w:pPr>
              <w:spacing w:after="0" w:line="240" w:lineRule="auto"/>
              <w:jc w:val="center"/>
              <w:rPr>
                <w:rFonts w:ascii="Garamond" w:eastAsia="Times New Roman" w:hAnsi="Garamond" w:cs="Calibri"/>
                <w:color w:val="000000"/>
                <w:sz w:val="18"/>
                <w:szCs w:val="18"/>
              </w:rPr>
            </w:pPr>
            <w:r w:rsidRPr="006F5C0E">
              <w:rPr>
                <w:rFonts w:ascii="Garamond" w:eastAsia="Times New Roman" w:hAnsi="Garamond" w:cs="Calibri"/>
                <w:color w:val="000000"/>
                <w:sz w:val="18"/>
                <w:szCs w:val="18"/>
              </w:rPr>
              <w:lastRenderedPageBreak/>
              <w:t>8</w:t>
            </w:r>
          </w:p>
        </w:tc>
        <w:tc>
          <w:tcPr>
            <w:tcW w:w="880" w:type="dxa"/>
            <w:shd w:val="clear" w:color="auto" w:fill="E2EFD9" w:themeFill="accent6" w:themeFillTint="33"/>
            <w:noWrap/>
            <w:vAlign w:val="center"/>
            <w:hideMark/>
          </w:tcPr>
          <w:p w14:paraId="241CCB1A" w14:textId="0C77C485" w:rsidR="00F875E3" w:rsidRPr="004B3E24" w:rsidRDefault="00F875E3" w:rsidP="00F875E3">
            <w:pPr>
              <w:spacing w:after="0" w:line="240" w:lineRule="auto"/>
              <w:jc w:val="center"/>
              <w:rPr>
                <w:rFonts w:ascii="Garamond" w:eastAsia="Times New Roman" w:hAnsi="Garamond" w:cs="Calibri"/>
                <w:color w:val="000000"/>
                <w:sz w:val="18"/>
                <w:szCs w:val="18"/>
              </w:rPr>
            </w:pPr>
            <w:r>
              <w:rPr>
                <w:rFonts w:ascii="Garamond" w:eastAsia="Times New Roman" w:hAnsi="Garamond" w:cs="Calibri"/>
                <w:color w:val="000000"/>
                <w:sz w:val="18"/>
                <w:szCs w:val="18"/>
              </w:rPr>
              <w:t>March 27</w:t>
            </w:r>
          </w:p>
        </w:tc>
        <w:tc>
          <w:tcPr>
            <w:tcW w:w="2680" w:type="dxa"/>
            <w:shd w:val="clear" w:color="auto" w:fill="E2EFD9" w:themeFill="accent6" w:themeFillTint="33"/>
            <w:vAlign w:val="center"/>
            <w:hideMark/>
          </w:tcPr>
          <w:p w14:paraId="7FA863FB" w14:textId="064A3A37" w:rsidR="00F875E3" w:rsidRPr="00715D04" w:rsidRDefault="00F875E3" w:rsidP="00F875E3">
            <w:pPr>
              <w:spacing w:after="0" w:line="240" w:lineRule="auto"/>
              <w:rPr>
                <w:rFonts w:ascii="Garamond" w:eastAsia="Times New Roman" w:hAnsi="Garamond" w:cs="Calibri"/>
                <w:bCs/>
                <w:color w:val="000000"/>
                <w:sz w:val="18"/>
                <w:szCs w:val="18"/>
              </w:rPr>
            </w:pPr>
            <w:r>
              <w:rPr>
                <w:rFonts w:ascii="Garamond" w:eastAsia="Times New Roman" w:hAnsi="Garamond" w:cs="Calibri"/>
                <w:b/>
                <w:color w:val="000000"/>
                <w:sz w:val="18"/>
                <w:szCs w:val="18"/>
              </w:rPr>
              <w:t>SPRING BREAK</w:t>
            </w:r>
          </w:p>
        </w:tc>
        <w:tc>
          <w:tcPr>
            <w:tcW w:w="4243" w:type="dxa"/>
            <w:shd w:val="clear" w:color="auto" w:fill="E2EFD9" w:themeFill="accent6" w:themeFillTint="33"/>
            <w:vAlign w:val="center"/>
          </w:tcPr>
          <w:p w14:paraId="7A109595" w14:textId="30980C11" w:rsidR="00F875E3" w:rsidRPr="004B3E24" w:rsidRDefault="00F875E3" w:rsidP="00F875E3">
            <w:pPr>
              <w:spacing w:after="0" w:line="240" w:lineRule="auto"/>
              <w:rPr>
                <w:rFonts w:ascii="Garamond" w:eastAsia="Times New Roman" w:hAnsi="Garamond" w:cs="Calibri"/>
                <w:color w:val="000000"/>
                <w:sz w:val="18"/>
                <w:szCs w:val="18"/>
              </w:rPr>
            </w:pPr>
          </w:p>
        </w:tc>
        <w:tc>
          <w:tcPr>
            <w:tcW w:w="4238" w:type="dxa"/>
            <w:shd w:val="clear" w:color="auto" w:fill="E2EFD9" w:themeFill="accent6" w:themeFillTint="33"/>
            <w:vAlign w:val="center"/>
            <w:hideMark/>
          </w:tcPr>
          <w:p w14:paraId="694769A4" w14:textId="77777777" w:rsidR="00F875E3" w:rsidRPr="004B3E24" w:rsidRDefault="00F875E3" w:rsidP="00F875E3">
            <w:pPr>
              <w:spacing w:after="0" w:line="240" w:lineRule="auto"/>
              <w:rPr>
                <w:rFonts w:ascii="Garamond" w:eastAsia="Times New Roman" w:hAnsi="Garamond" w:cs="Calibri"/>
                <w:color w:val="000000"/>
                <w:sz w:val="18"/>
                <w:szCs w:val="18"/>
              </w:rPr>
            </w:pPr>
            <w:r w:rsidRPr="004B3E24">
              <w:rPr>
                <w:rFonts w:ascii="Garamond" w:eastAsia="Times New Roman" w:hAnsi="Garamond" w:cs="Calibri"/>
                <w:color w:val="000000"/>
                <w:sz w:val="18"/>
                <w:szCs w:val="18"/>
              </w:rPr>
              <w:t> </w:t>
            </w:r>
          </w:p>
        </w:tc>
        <w:tc>
          <w:tcPr>
            <w:tcW w:w="1237" w:type="dxa"/>
            <w:shd w:val="clear" w:color="auto" w:fill="E2EFD9" w:themeFill="accent6" w:themeFillTint="33"/>
            <w:vAlign w:val="center"/>
            <w:hideMark/>
          </w:tcPr>
          <w:p w14:paraId="73ACA3CC" w14:textId="6328C174" w:rsidR="00F875E3" w:rsidRPr="004B3E24" w:rsidRDefault="00F875E3" w:rsidP="00F875E3">
            <w:pPr>
              <w:spacing w:after="0" w:line="240" w:lineRule="auto"/>
              <w:rPr>
                <w:rFonts w:ascii="Garamond" w:eastAsia="Times New Roman" w:hAnsi="Garamond" w:cs="Calibri"/>
                <w:color w:val="000000"/>
                <w:sz w:val="18"/>
                <w:szCs w:val="18"/>
              </w:rPr>
            </w:pPr>
          </w:p>
        </w:tc>
      </w:tr>
      <w:tr w:rsidR="00F875E3" w:rsidRPr="004B3E24" w14:paraId="2FA9FA20" w14:textId="77777777" w:rsidTr="00631C70">
        <w:trPr>
          <w:trHeight w:val="278"/>
        </w:trPr>
        <w:tc>
          <w:tcPr>
            <w:tcW w:w="642" w:type="dxa"/>
            <w:shd w:val="clear" w:color="auto" w:fill="EDEDED" w:themeFill="accent3" w:themeFillTint="33"/>
            <w:noWrap/>
            <w:vAlign w:val="center"/>
            <w:hideMark/>
          </w:tcPr>
          <w:p w14:paraId="551178AB" w14:textId="3F58220A" w:rsidR="00F875E3" w:rsidRPr="004B3E24" w:rsidRDefault="00F875E3" w:rsidP="00F875E3">
            <w:pPr>
              <w:spacing w:after="0" w:line="240" w:lineRule="auto"/>
              <w:jc w:val="center"/>
              <w:rPr>
                <w:rFonts w:ascii="Garamond" w:eastAsia="Times New Roman" w:hAnsi="Garamond" w:cs="Calibri"/>
                <w:color w:val="000000"/>
                <w:sz w:val="18"/>
                <w:szCs w:val="18"/>
              </w:rPr>
            </w:pPr>
            <w:r w:rsidRPr="006F5C0E">
              <w:rPr>
                <w:rFonts w:ascii="Garamond" w:eastAsia="Times New Roman" w:hAnsi="Garamond" w:cs="Calibri"/>
                <w:color w:val="000000"/>
                <w:sz w:val="18"/>
                <w:szCs w:val="18"/>
              </w:rPr>
              <w:t>9</w:t>
            </w:r>
          </w:p>
        </w:tc>
        <w:tc>
          <w:tcPr>
            <w:tcW w:w="880" w:type="dxa"/>
            <w:shd w:val="clear" w:color="auto" w:fill="EDEDED" w:themeFill="accent3" w:themeFillTint="33"/>
            <w:noWrap/>
            <w:vAlign w:val="center"/>
            <w:hideMark/>
          </w:tcPr>
          <w:p w14:paraId="1A4F1E7A" w14:textId="3BD23AE3" w:rsidR="00F875E3" w:rsidRPr="004B3E24" w:rsidRDefault="00F875E3" w:rsidP="00F875E3">
            <w:pPr>
              <w:spacing w:after="0" w:line="240" w:lineRule="auto"/>
              <w:jc w:val="center"/>
              <w:rPr>
                <w:rFonts w:ascii="Garamond" w:eastAsia="Times New Roman" w:hAnsi="Garamond" w:cs="Calibri"/>
                <w:color w:val="000000"/>
                <w:sz w:val="18"/>
                <w:szCs w:val="18"/>
              </w:rPr>
            </w:pPr>
            <w:r>
              <w:rPr>
                <w:rFonts w:ascii="Garamond" w:eastAsia="Times New Roman" w:hAnsi="Garamond" w:cs="Calibri"/>
                <w:color w:val="000000"/>
                <w:sz w:val="18"/>
                <w:szCs w:val="18"/>
              </w:rPr>
              <w:t>April 3</w:t>
            </w:r>
          </w:p>
        </w:tc>
        <w:tc>
          <w:tcPr>
            <w:tcW w:w="2680" w:type="dxa"/>
            <w:shd w:val="clear" w:color="auto" w:fill="EDEDED" w:themeFill="accent3" w:themeFillTint="33"/>
            <w:vAlign w:val="center"/>
            <w:hideMark/>
          </w:tcPr>
          <w:p w14:paraId="6850E671" w14:textId="1D587409" w:rsidR="00F875E3" w:rsidRPr="006B74C1" w:rsidRDefault="00F875E3" w:rsidP="00F875E3">
            <w:pPr>
              <w:spacing w:after="0" w:line="240" w:lineRule="auto"/>
              <w:rPr>
                <w:rFonts w:ascii="Garamond" w:eastAsia="Times New Roman" w:hAnsi="Garamond" w:cs="Calibri"/>
                <w:b/>
                <w:color w:val="000000"/>
                <w:sz w:val="18"/>
                <w:szCs w:val="18"/>
              </w:rPr>
            </w:pPr>
            <w:r>
              <w:rPr>
                <w:rFonts w:ascii="Garamond" w:eastAsia="Times New Roman" w:hAnsi="Garamond" w:cs="Calibri"/>
                <w:color w:val="000000"/>
                <w:sz w:val="18"/>
                <w:szCs w:val="18"/>
              </w:rPr>
              <w:t>Present PS</w:t>
            </w:r>
            <w:r w:rsidRPr="006F5C0E">
              <w:rPr>
                <w:rFonts w:ascii="Garamond" w:eastAsia="Times New Roman" w:hAnsi="Garamond" w:cs="Calibri"/>
                <w:color w:val="000000"/>
                <w:sz w:val="18"/>
                <w:szCs w:val="18"/>
              </w:rPr>
              <w:t xml:space="preserve"> 2: IV Presentations</w:t>
            </w:r>
            <w:r>
              <w:rPr>
                <w:rFonts w:ascii="Garamond" w:eastAsia="Times New Roman" w:hAnsi="Garamond" w:cs="Calibri"/>
                <w:color w:val="000000"/>
                <w:sz w:val="18"/>
                <w:szCs w:val="18"/>
              </w:rPr>
              <w:t xml:space="preserve"> </w:t>
            </w:r>
            <w:r w:rsidRPr="00D80E73">
              <w:rPr>
                <w:rFonts w:ascii="Garamond" w:eastAsia="Times New Roman" w:hAnsi="Garamond" w:cs="Calibri"/>
                <w:color w:val="000000"/>
                <w:sz w:val="18"/>
                <w:szCs w:val="18"/>
              </w:rPr>
              <w:t>(“</w:t>
            </w:r>
            <w:r>
              <w:rPr>
                <w:rFonts w:ascii="Garamond" w:eastAsia="Times New Roman" w:hAnsi="Garamond" w:cs="Calibri"/>
                <w:color w:val="000000"/>
                <w:sz w:val="18"/>
                <w:szCs w:val="18"/>
              </w:rPr>
              <w:t>presentation</w:t>
            </w:r>
            <w:r w:rsidRPr="00D80E73">
              <w:rPr>
                <w:rFonts w:ascii="Garamond" w:eastAsia="Times New Roman" w:hAnsi="Garamond" w:cs="Calibri"/>
                <w:color w:val="000000"/>
                <w:sz w:val="18"/>
                <w:szCs w:val="18"/>
              </w:rPr>
              <w:t xml:space="preserve"> session”)</w:t>
            </w:r>
          </w:p>
        </w:tc>
        <w:tc>
          <w:tcPr>
            <w:tcW w:w="4243" w:type="dxa"/>
            <w:shd w:val="clear" w:color="auto" w:fill="EDEDED" w:themeFill="accent3" w:themeFillTint="33"/>
            <w:vAlign w:val="center"/>
            <w:hideMark/>
          </w:tcPr>
          <w:p w14:paraId="02A558C4" w14:textId="776661B3" w:rsidR="00F875E3" w:rsidRPr="004B3E24" w:rsidRDefault="00F875E3" w:rsidP="00F875E3">
            <w:pPr>
              <w:spacing w:after="0" w:line="240" w:lineRule="auto"/>
              <w:rPr>
                <w:rFonts w:ascii="Garamond" w:eastAsia="Times New Roman" w:hAnsi="Garamond" w:cs="Calibri"/>
                <w:color w:val="000000"/>
                <w:sz w:val="18"/>
                <w:szCs w:val="18"/>
              </w:rPr>
            </w:pPr>
          </w:p>
        </w:tc>
        <w:tc>
          <w:tcPr>
            <w:tcW w:w="4238" w:type="dxa"/>
            <w:shd w:val="clear" w:color="auto" w:fill="EDEDED" w:themeFill="accent3" w:themeFillTint="33"/>
            <w:vAlign w:val="center"/>
            <w:hideMark/>
          </w:tcPr>
          <w:p w14:paraId="1C4B1745" w14:textId="0A10A242" w:rsidR="00F875E3" w:rsidRPr="004B3E24" w:rsidRDefault="00F875E3" w:rsidP="00F875E3">
            <w:pPr>
              <w:spacing w:after="0" w:line="240" w:lineRule="auto"/>
              <w:rPr>
                <w:rFonts w:ascii="Garamond" w:eastAsia="Times New Roman" w:hAnsi="Garamond" w:cs="Calibri"/>
                <w:color w:val="000000"/>
                <w:sz w:val="18"/>
                <w:szCs w:val="18"/>
              </w:rPr>
            </w:pPr>
          </w:p>
        </w:tc>
        <w:tc>
          <w:tcPr>
            <w:tcW w:w="1237" w:type="dxa"/>
            <w:shd w:val="clear" w:color="auto" w:fill="EDEDED" w:themeFill="accent3" w:themeFillTint="33"/>
            <w:vAlign w:val="center"/>
            <w:hideMark/>
          </w:tcPr>
          <w:p w14:paraId="07C8712A" w14:textId="6DE58118" w:rsidR="00F875E3" w:rsidRPr="004B3E24" w:rsidRDefault="00F875E3" w:rsidP="00F875E3">
            <w:pPr>
              <w:spacing w:after="0" w:line="240" w:lineRule="auto"/>
              <w:rPr>
                <w:rFonts w:ascii="Garamond" w:eastAsia="Times New Roman" w:hAnsi="Garamond" w:cs="Calibri"/>
                <w:color w:val="000000"/>
                <w:sz w:val="18"/>
                <w:szCs w:val="18"/>
              </w:rPr>
            </w:pPr>
            <w:r w:rsidRPr="004B3E24">
              <w:rPr>
                <w:rFonts w:ascii="Garamond" w:eastAsia="Times New Roman" w:hAnsi="Garamond" w:cs="Calibri"/>
                <w:color w:val="000000"/>
                <w:sz w:val="18"/>
                <w:szCs w:val="18"/>
              </w:rPr>
              <w:t> </w:t>
            </w:r>
            <w:r w:rsidR="0014218B" w:rsidRPr="0014218B">
              <w:rPr>
                <w:rFonts w:ascii="Garamond" w:eastAsia="Times New Roman" w:hAnsi="Garamond" w:cs="Calibri"/>
                <w:color w:val="000000"/>
                <w:sz w:val="18"/>
                <w:szCs w:val="18"/>
              </w:rPr>
              <w:t>Replication 2 Due &amp; Lab</w:t>
            </w:r>
          </w:p>
        </w:tc>
      </w:tr>
      <w:tr w:rsidR="00F875E3" w:rsidRPr="004B3E24" w14:paraId="526ABB1A" w14:textId="77777777" w:rsidTr="00631C70">
        <w:trPr>
          <w:trHeight w:val="720"/>
        </w:trPr>
        <w:tc>
          <w:tcPr>
            <w:tcW w:w="642" w:type="dxa"/>
            <w:shd w:val="clear" w:color="auto" w:fill="FFF2CC" w:themeFill="accent4" w:themeFillTint="33"/>
            <w:noWrap/>
            <w:vAlign w:val="center"/>
            <w:hideMark/>
          </w:tcPr>
          <w:p w14:paraId="26ED7B5D" w14:textId="641FA48E" w:rsidR="00F875E3" w:rsidRPr="004B3E24" w:rsidRDefault="00F875E3" w:rsidP="00F875E3">
            <w:pPr>
              <w:spacing w:after="0" w:line="240" w:lineRule="auto"/>
              <w:jc w:val="center"/>
              <w:rPr>
                <w:rFonts w:ascii="Garamond" w:eastAsia="Times New Roman" w:hAnsi="Garamond" w:cs="Calibri"/>
                <w:color w:val="000000"/>
                <w:sz w:val="18"/>
                <w:szCs w:val="18"/>
              </w:rPr>
            </w:pPr>
            <w:r w:rsidRPr="006F5C0E">
              <w:rPr>
                <w:rFonts w:ascii="Garamond" w:eastAsia="Times New Roman" w:hAnsi="Garamond" w:cs="Calibri"/>
                <w:color w:val="000000"/>
                <w:sz w:val="18"/>
                <w:szCs w:val="18"/>
              </w:rPr>
              <w:t>10</w:t>
            </w:r>
          </w:p>
        </w:tc>
        <w:tc>
          <w:tcPr>
            <w:tcW w:w="880" w:type="dxa"/>
            <w:shd w:val="clear" w:color="auto" w:fill="FFF2CC" w:themeFill="accent4" w:themeFillTint="33"/>
            <w:noWrap/>
            <w:vAlign w:val="center"/>
            <w:hideMark/>
          </w:tcPr>
          <w:p w14:paraId="7FA25B2C" w14:textId="61067236" w:rsidR="00F875E3" w:rsidRPr="004B3E24" w:rsidRDefault="00F875E3" w:rsidP="00F875E3">
            <w:pPr>
              <w:spacing w:after="0" w:line="240" w:lineRule="auto"/>
              <w:jc w:val="center"/>
              <w:rPr>
                <w:rFonts w:ascii="Garamond" w:eastAsia="Times New Roman" w:hAnsi="Garamond" w:cs="Calibri"/>
                <w:color w:val="000000"/>
                <w:sz w:val="18"/>
                <w:szCs w:val="18"/>
              </w:rPr>
            </w:pPr>
            <w:r>
              <w:rPr>
                <w:rFonts w:ascii="Garamond" w:eastAsia="Times New Roman" w:hAnsi="Garamond" w:cs="Calibri"/>
                <w:color w:val="000000"/>
                <w:sz w:val="18"/>
                <w:szCs w:val="18"/>
              </w:rPr>
              <w:t>April 10</w:t>
            </w:r>
          </w:p>
        </w:tc>
        <w:tc>
          <w:tcPr>
            <w:tcW w:w="2680" w:type="dxa"/>
            <w:shd w:val="clear" w:color="auto" w:fill="FFF2CC" w:themeFill="accent4" w:themeFillTint="33"/>
            <w:vAlign w:val="center"/>
            <w:hideMark/>
          </w:tcPr>
          <w:p w14:paraId="1290B6A0" w14:textId="6BB0D3A2" w:rsidR="00F875E3" w:rsidRPr="004B3E24" w:rsidRDefault="00F875E3" w:rsidP="00F875E3">
            <w:pPr>
              <w:spacing w:after="0" w:line="240" w:lineRule="auto"/>
              <w:rPr>
                <w:rFonts w:ascii="Garamond" w:eastAsia="Times New Roman" w:hAnsi="Garamond" w:cs="Calibri"/>
                <w:color w:val="000000"/>
                <w:sz w:val="18"/>
                <w:szCs w:val="18"/>
              </w:rPr>
            </w:pPr>
            <w:r>
              <w:rPr>
                <w:rFonts w:ascii="Garamond" w:eastAsia="Times New Roman" w:hAnsi="Garamond" w:cs="Calibri"/>
                <w:color w:val="000000"/>
                <w:sz w:val="18"/>
                <w:szCs w:val="18"/>
              </w:rPr>
              <w:t xml:space="preserve">Distribute PS 3: </w:t>
            </w:r>
            <w:r w:rsidRPr="006F5C0E">
              <w:rPr>
                <w:rFonts w:ascii="Garamond" w:eastAsia="Times New Roman" w:hAnsi="Garamond" w:cs="Calibri"/>
                <w:color w:val="000000"/>
                <w:sz w:val="18"/>
                <w:szCs w:val="18"/>
              </w:rPr>
              <w:t xml:space="preserve">Bacon DD derivation. </w:t>
            </w:r>
            <w:r>
              <w:rPr>
                <w:rFonts w:ascii="Garamond" w:eastAsia="Times New Roman" w:hAnsi="Garamond" w:cs="Calibri"/>
                <w:color w:val="000000"/>
                <w:sz w:val="18"/>
                <w:szCs w:val="18"/>
              </w:rPr>
              <w:t xml:space="preserve">Treatment effect heterogeneity. Bias. </w:t>
            </w:r>
          </w:p>
        </w:tc>
        <w:tc>
          <w:tcPr>
            <w:tcW w:w="4243" w:type="dxa"/>
            <w:shd w:val="clear" w:color="auto" w:fill="FFF2CC" w:themeFill="accent4" w:themeFillTint="33"/>
            <w:vAlign w:val="center"/>
            <w:hideMark/>
          </w:tcPr>
          <w:p w14:paraId="16E19BFA" w14:textId="4FB86FBC" w:rsidR="00F875E3" w:rsidRDefault="00072E2C" w:rsidP="00F875E3">
            <w:pPr>
              <w:spacing w:after="0" w:line="240" w:lineRule="auto"/>
              <w:rPr>
                <w:rFonts w:ascii="Garamond" w:eastAsia="Times New Roman" w:hAnsi="Garamond" w:cs="Calibri"/>
                <w:color w:val="000000"/>
                <w:sz w:val="18"/>
                <w:szCs w:val="18"/>
              </w:rPr>
            </w:pPr>
            <w:r>
              <w:rPr>
                <w:rFonts w:ascii="Garamond" w:eastAsia="Times New Roman" w:hAnsi="Garamond" w:cs="Calibri"/>
                <w:color w:val="000000"/>
                <w:sz w:val="18"/>
                <w:szCs w:val="18"/>
              </w:rPr>
              <w:t>P1</w:t>
            </w:r>
            <w:r w:rsidR="002B559B">
              <w:rPr>
                <w:rFonts w:ascii="Garamond" w:eastAsia="Times New Roman" w:hAnsi="Garamond" w:cs="Calibri"/>
                <w:color w:val="000000"/>
                <w:sz w:val="18"/>
                <w:szCs w:val="18"/>
              </w:rPr>
              <w:t>9</w:t>
            </w:r>
            <w:r>
              <w:rPr>
                <w:rFonts w:ascii="Garamond" w:eastAsia="Times New Roman" w:hAnsi="Garamond" w:cs="Calibri"/>
                <w:color w:val="000000"/>
                <w:sz w:val="18"/>
                <w:szCs w:val="18"/>
              </w:rPr>
              <w:t xml:space="preserve">: </w:t>
            </w:r>
            <w:r w:rsidR="002E0191" w:rsidRPr="002E0191">
              <w:rPr>
                <w:rFonts w:ascii="Garamond" w:eastAsia="Times New Roman" w:hAnsi="Garamond" w:cs="Calibri"/>
                <w:color w:val="000000"/>
                <w:sz w:val="18"/>
                <w:szCs w:val="18"/>
              </w:rPr>
              <w:t>Kraft, Matthew A., Alexander J. Bolves, and Noelle M. Hurd. "How informal mentoring by teachers, counselors, and coaches supports students' long-run academic success." </w:t>
            </w:r>
            <w:r w:rsidR="002E0191" w:rsidRPr="002E0191">
              <w:rPr>
                <w:rFonts w:ascii="Garamond" w:eastAsia="Times New Roman" w:hAnsi="Garamond" w:cs="Calibri"/>
                <w:i/>
                <w:iCs/>
                <w:color w:val="000000"/>
                <w:sz w:val="18"/>
                <w:szCs w:val="18"/>
              </w:rPr>
              <w:t>Economics of Education Review</w:t>
            </w:r>
            <w:r w:rsidR="002E0191" w:rsidRPr="002E0191">
              <w:rPr>
                <w:rFonts w:ascii="Garamond" w:eastAsia="Times New Roman" w:hAnsi="Garamond" w:cs="Calibri"/>
                <w:color w:val="000000"/>
                <w:sz w:val="18"/>
                <w:szCs w:val="18"/>
              </w:rPr>
              <w:t> 95 (2023): 102411.</w:t>
            </w:r>
          </w:p>
          <w:p w14:paraId="52407DCF" w14:textId="77777777" w:rsidR="00547AA1" w:rsidRDefault="00547AA1" w:rsidP="00F875E3">
            <w:pPr>
              <w:spacing w:after="0" w:line="240" w:lineRule="auto"/>
              <w:rPr>
                <w:rFonts w:ascii="Garamond" w:eastAsia="Times New Roman" w:hAnsi="Garamond" w:cs="Calibri"/>
                <w:color w:val="000000"/>
                <w:sz w:val="18"/>
                <w:szCs w:val="18"/>
              </w:rPr>
            </w:pPr>
          </w:p>
          <w:p w14:paraId="54BAD38B" w14:textId="3005BD85" w:rsidR="00547AA1" w:rsidRPr="004B3E24" w:rsidRDefault="00072E2C" w:rsidP="00F875E3">
            <w:pPr>
              <w:spacing w:after="0" w:line="240" w:lineRule="auto"/>
              <w:rPr>
                <w:rFonts w:ascii="Garamond" w:eastAsia="Times New Roman" w:hAnsi="Garamond" w:cs="Calibri"/>
                <w:color w:val="000000"/>
                <w:sz w:val="18"/>
                <w:szCs w:val="18"/>
              </w:rPr>
            </w:pPr>
            <w:r>
              <w:rPr>
                <w:rFonts w:ascii="Garamond" w:eastAsia="Times New Roman" w:hAnsi="Garamond" w:cs="Calibri"/>
                <w:color w:val="000000"/>
                <w:sz w:val="18"/>
                <w:szCs w:val="18"/>
              </w:rPr>
              <w:t>P</w:t>
            </w:r>
            <w:r w:rsidR="002B559B">
              <w:rPr>
                <w:rFonts w:ascii="Garamond" w:eastAsia="Times New Roman" w:hAnsi="Garamond" w:cs="Calibri"/>
                <w:color w:val="000000"/>
                <w:sz w:val="18"/>
                <w:szCs w:val="18"/>
              </w:rPr>
              <w:t>20</w:t>
            </w:r>
            <w:r>
              <w:rPr>
                <w:rFonts w:ascii="Garamond" w:eastAsia="Times New Roman" w:hAnsi="Garamond" w:cs="Calibri"/>
                <w:color w:val="000000"/>
                <w:sz w:val="18"/>
                <w:szCs w:val="18"/>
              </w:rPr>
              <w:t xml:space="preserve">: </w:t>
            </w:r>
            <w:r w:rsidR="00547AA1" w:rsidRPr="00547AA1">
              <w:rPr>
                <w:rFonts w:ascii="Garamond" w:eastAsia="Times New Roman" w:hAnsi="Garamond" w:cs="Calibri"/>
                <w:color w:val="000000"/>
                <w:sz w:val="18"/>
                <w:szCs w:val="18"/>
              </w:rPr>
              <w:t>Paglayan, Agustina S. "Education or indoctrination? The violent origins of public school systems in an era of state-building." </w:t>
            </w:r>
            <w:r w:rsidR="00547AA1" w:rsidRPr="00547AA1">
              <w:rPr>
                <w:rFonts w:ascii="Garamond" w:eastAsia="Times New Roman" w:hAnsi="Garamond" w:cs="Calibri"/>
                <w:i/>
                <w:iCs/>
                <w:color w:val="000000"/>
                <w:sz w:val="18"/>
                <w:szCs w:val="18"/>
              </w:rPr>
              <w:t>American Political Science Review</w:t>
            </w:r>
            <w:r w:rsidR="00547AA1" w:rsidRPr="00547AA1">
              <w:rPr>
                <w:rFonts w:ascii="Garamond" w:eastAsia="Times New Roman" w:hAnsi="Garamond" w:cs="Calibri"/>
                <w:color w:val="000000"/>
                <w:sz w:val="18"/>
                <w:szCs w:val="18"/>
              </w:rPr>
              <w:t> 116.4 (2022): 1242-1257.</w:t>
            </w:r>
          </w:p>
        </w:tc>
        <w:tc>
          <w:tcPr>
            <w:tcW w:w="4238" w:type="dxa"/>
            <w:shd w:val="clear" w:color="auto" w:fill="FFF2CC" w:themeFill="accent4" w:themeFillTint="33"/>
            <w:vAlign w:val="center"/>
            <w:hideMark/>
          </w:tcPr>
          <w:p w14:paraId="0210905D" w14:textId="064170E1" w:rsidR="00F875E3" w:rsidRDefault="00072E2C" w:rsidP="00F875E3">
            <w:pPr>
              <w:spacing w:after="0" w:line="240" w:lineRule="auto"/>
              <w:rPr>
                <w:rFonts w:ascii="Garamond" w:eastAsia="Times New Roman" w:hAnsi="Garamond" w:cs="Calibri"/>
                <w:color w:val="000000"/>
                <w:sz w:val="18"/>
                <w:szCs w:val="18"/>
              </w:rPr>
            </w:pPr>
            <w:r>
              <w:rPr>
                <w:rFonts w:ascii="Garamond" w:eastAsia="Times New Roman" w:hAnsi="Garamond" w:cs="Calibri"/>
                <w:color w:val="000000"/>
                <w:sz w:val="18"/>
                <w:szCs w:val="18"/>
              </w:rPr>
              <w:t>P</w:t>
            </w:r>
            <w:r w:rsidR="002B559B">
              <w:rPr>
                <w:rFonts w:ascii="Garamond" w:eastAsia="Times New Roman" w:hAnsi="Garamond" w:cs="Calibri"/>
                <w:color w:val="000000"/>
                <w:sz w:val="18"/>
                <w:szCs w:val="18"/>
              </w:rPr>
              <w:t>21</w:t>
            </w:r>
            <w:r>
              <w:rPr>
                <w:rFonts w:ascii="Garamond" w:eastAsia="Times New Roman" w:hAnsi="Garamond" w:cs="Calibri"/>
                <w:color w:val="000000"/>
                <w:sz w:val="18"/>
                <w:szCs w:val="18"/>
              </w:rPr>
              <w:t xml:space="preserve">: </w:t>
            </w:r>
            <w:r w:rsidR="002E0191" w:rsidRPr="002E0191">
              <w:rPr>
                <w:rFonts w:ascii="Garamond" w:eastAsia="Times New Roman" w:hAnsi="Garamond" w:cs="Calibri"/>
                <w:color w:val="000000"/>
                <w:sz w:val="18"/>
                <w:szCs w:val="18"/>
              </w:rPr>
              <w:t>Goldhaber, Dan, et al. "To what extent does in</w:t>
            </w:r>
            <w:r w:rsidR="002E0191" w:rsidRPr="002E0191">
              <w:rPr>
                <w:rFonts w:ascii="Times New Roman" w:eastAsia="Times New Roman" w:hAnsi="Times New Roman" w:cs="Times New Roman"/>
                <w:color w:val="000000"/>
                <w:sz w:val="18"/>
                <w:szCs w:val="18"/>
              </w:rPr>
              <w:t>‐</w:t>
            </w:r>
            <w:r w:rsidR="002E0191" w:rsidRPr="002E0191">
              <w:rPr>
                <w:rFonts w:ascii="Garamond" w:eastAsia="Times New Roman" w:hAnsi="Garamond" w:cs="Calibri"/>
                <w:color w:val="000000"/>
                <w:sz w:val="18"/>
                <w:szCs w:val="18"/>
              </w:rPr>
              <w:t>person schooling contribute to the spread of Covid</w:t>
            </w:r>
            <w:r w:rsidR="002E0191" w:rsidRPr="002E0191">
              <w:rPr>
                <w:rFonts w:ascii="Times New Roman" w:eastAsia="Times New Roman" w:hAnsi="Times New Roman" w:cs="Times New Roman"/>
                <w:color w:val="000000"/>
                <w:sz w:val="18"/>
                <w:szCs w:val="18"/>
              </w:rPr>
              <w:t>‐</w:t>
            </w:r>
            <w:r w:rsidR="002E0191" w:rsidRPr="002E0191">
              <w:rPr>
                <w:rFonts w:ascii="Garamond" w:eastAsia="Times New Roman" w:hAnsi="Garamond" w:cs="Calibri"/>
                <w:color w:val="000000"/>
                <w:sz w:val="18"/>
                <w:szCs w:val="18"/>
              </w:rPr>
              <w:t>19? Evidence from Michigan and Washington."</w:t>
            </w:r>
            <w:r w:rsidR="002E0191" w:rsidRPr="002E0191">
              <w:rPr>
                <w:rFonts w:ascii="Garamond" w:eastAsia="Times New Roman" w:hAnsi="Garamond" w:cs="Garamond"/>
                <w:color w:val="000000"/>
                <w:sz w:val="18"/>
                <w:szCs w:val="18"/>
              </w:rPr>
              <w:t> </w:t>
            </w:r>
            <w:r w:rsidR="002E0191" w:rsidRPr="002E0191">
              <w:rPr>
                <w:rFonts w:ascii="Garamond" w:eastAsia="Times New Roman" w:hAnsi="Garamond" w:cs="Calibri"/>
                <w:i/>
                <w:iCs/>
                <w:color w:val="000000"/>
                <w:sz w:val="18"/>
                <w:szCs w:val="18"/>
              </w:rPr>
              <w:t>Journal of Policy Analysis and Management</w:t>
            </w:r>
            <w:r w:rsidR="002E0191" w:rsidRPr="002E0191">
              <w:rPr>
                <w:rFonts w:ascii="Garamond" w:eastAsia="Times New Roman" w:hAnsi="Garamond" w:cs="Calibri"/>
                <w:color w:val="000000"/>
                <w:sz w:val="18"/>
                <w:szCs w:val="18"/>
              </w:rPr>
              <w:t> 41.1 (2022): 318-349.</w:t>
            </w:r>
          </w:p>
          <w:p w14:paraId="304A2E65" w14:textId="77777777" w:rsidR="002E0191" w:rsidRDefault="002E0191" w:rsidP="00F875E3">
            <w:pPr>
              <w:spacing w:after="0" w:line="240" w:lineRule="auto"/>
              <w:rPr>
                <w:rFonts w:ascii="Garamond" w:eastAsia="Times New Roman" w:hAnsi="Garamond" w:cs="Calibri"/>
                <w:color w:val="000000"/>
                <w:sz w:val="18"/>
                <w:szCs w:val="18"/>
              </w:rPr>
            </w:pPr>
          </w:p>
          <w:p w14:paraId="1E5256E9" w14:textId="5D6F1B0C" w:rsidR="002E0191" w:rsidRPr="004B3E24" w:rsidRDefault="00072E2C" w:rsidP="00F875E3">
            <w:pPr>
              <w:spacing w:after="0" w:line="240" w:lineRule="auto"/>
              <w:rPr>
                <w:rFonts w:ascii="Garamond" w:eastAsia="Times New Roman" w:hAnsi="Garamond" w:cs="Calibri"/>
                <w:color w:val="000000"/>
                <w:sz w:val="18"/>
                <w:szCs w:val="18"/>
              </w:rPr>
            </w:pPr>
            <w:r>
              <w:rPr>
                <w:rFonts w:ascii="Garamond" w:eastAsia="Times New Roman" w:hAnsi="Garamond" w:cs="Calibri"/>
                <w:color w:val="000000"/>
                <w:sz w:val="18"/>
                <w:szCs w:val="18"/>
              </w:rPr>
              <w:t>P</w:t>
            </w:r>
            <w:r w:rsidR="002B559B">
              <w:rPr>
                <w:rFonts w:ascii="Garamond" w:eastAsia="Times New Roman" w:hAnsi="Garamond" w:cs="Calibri"/>
                <w:color w:val="000000"/>
                <w:sz w:val="18"/>
                <w:szCs w:val="18"/>
              </w:rPr>
              <w:t>22</w:t>
            </w:r>
            <w:r>
              <w:rPr>
                <w:rFonts w:ascii="Garamond" w:eastAsia="Times New Roman" w:hAnsi="Garamond" w:cs="Calibri"/>
                <w:color w:val="000000"/>
                <w:sz w:val="18"/>
                <w:szCs w:val="18"/>
              </w:rPr>
              <w:t xml:space="preserve">: </w:t>
            </w:r>
            <w:r w:rsidR="002E0191" w:rsidRPr="002E0191">
              <w:rPr>
                <w:rFonts w:ascii="Garamond" w:eastAsia="Times New Roman" w:hAnsi="Garamond" w:cs="Calibri"/>
                <w:color w:val="000000"/>
                <w:sz w:val="18"/>
                <w:szCs w:val="18"/>
              </w:rPr>
              <w:t>Chernozhukov, Victor, Hiroyuki Kasahara, and Paul Schrimpf. "The association of opening K–12 schools with the spread of COVID-19 in the United States: County-level panel data analysis." </w:t>
            </w:r>
            <w:r w:rsidR="002E0191" w:rsidRPr="002E0191">
              <w:rPr>
                <w:rFonts w:ascii="Garamond" w:eastAsia="Times New Roman" w:hAnsi="Garamond" w:cs="Calibri"/>
                <w:i/>
                <w:iCs/>
                <w:color w:val="000000"/>
                <w:sz w:val="18"/>
                <w:szCs w:val="18"/>
              </w:rPr>
              <w:t>Proceedings of the National Academy of Sciences</w:t>
            </w:r>
            <w:r w:rsidR="002E0191" w:rsidRPr="002E0191">
              <w:rPr>
                <w:rFonts w:ascii="Garamond" w:eastAsia="Times New Roman" w:hAnsi="Garamond" w:cs="Calibri"/>
                <w:color w:val="000000"/>
                <w:sz w:val="18"/>
                <w:szCs w:val="18"/>
              </w:rPr>
              <w:t> 118.42 (2021): e2103420118.</w:t>
            </w:r>
          </w:p>
        </w:tc>
        <w:tc>
          <w:tcPr>
            <w:tcW w:w="1237" w:type="dxa"/>
            <w:shd w:val="clear" w:color="auto" w:fill="FFF2CC" w:themeFill="accent4" w:themeFillTint="33"/>
            <w:vAlign w:val="center"/>
            <w:hideMark/>
          </w:tcPr>
          <w:p w14:paraId="57DCF332" w14:textId="6A62ED96" w:rsidR="00F875E3" w:rsidRPr="004B3E24" w:rsidRDefault="0014218B" w:rsidP="00F875E3">
            <w:pPr>
              <w:spacing w:after="0" w:line="240" w:lineRule="auto"/>
              <w:rPr>
                <w:rFonts w:ascii="Garamond" w:eastAsia="Times New Roman" w:hAnsi="Garamond" w:cs="Calibri"/>
                <w:color w:val="000000"/>
                <w:sz w:val="18"/>
                <w:szCs w:val="18"/>
              </w:rPr>
            </w:pPr>
            <w:r w:rsidRPr="0014218B">
              <w:rPr>
                <w:rFonts w:ascii="Garamond" w:eastAsia="Times New Roman" w:hAnsi="Garamond" w:cs="Calibri"/>
                <w:color w:val="000000"/>
                <w:sz w:val="18"/>
                <w:szCs w:val="18"/>
              </w:rPr>
              <w:t xml:space="preserve">Replication 3 Assigned: </w:t>
            </w:r>
            <w:r w:rsidR="007D2B8B">
              <w:rPr>
                <w:rFonts w:ascii="Garamond" w:eastAsia="Times New Roman" w:hAnsi="Garamond" w:cs="Calibri"/>
                <w:color w:val="000000"/>
                <w:sz w:val="18"/>
                <w:szCs w:val="18"/>
              </w:rPr>
              <w:t>DID</w:t>
            </w:r>
          </w:p>
        </w:tc>
      </w:tr>
      <w:tr w:rsidR="00F875E3" w:rsidRPr="004B3E24" w14:paraId="2488E599" w14:textId="77777777" w:rsidTr="00631C70">
        <w:trPr>
          <w:trHeight w:val="960"/>
        </w:trPr>
        <w:tc>
          <w:tcPr>
            <w:tcW w:w="642" w:type="dxa"/>
            <w:shd w:val="clear" w:color="auto" w:fill="auto"/>
            <w:noWrap/>
            <w:vAlign w:val="center"/>
            <w:hideMark/>
          </w:tcPr>
          <w:p w14:paraId="6398AA89" w14:textId="0C37E37D" w:rsidR="00F875E3" w:rsidRPr="004B3E24" w:rsidRDefault="00F875E3" w:rsidP="00F875E3">
            <w:pPr>
              <w:spacing w:after="0" w:line="240" w:lineRule="auto"/>
              <w:jc w:val="center"/>
              <w:rPr>
                <w:rFonts w:ascii="Garamond" w:eastAsia="Times New Roman" w:hAnsi="Garamond" w:cs="Calibri"/>
                <w:color w:val="000000"/>
                <w:sz w:val="18"/>
                <w:szCs w:val="18"/>
              </w:rPr>
            </w:pPr>
            <w:r w:rsidRPr="006F5C0E">
              <w:rPr>
                <w:rFonts w:ascii="Garamond" w:eastAsia="Times New Roman" w:hAnsi="Garamond" w:cs="Calibri"/>
                <w:color w:val="000000"/>
                <w:sz w:val="18"/>
                <w:szCs w:val="18"/>
              </w:rPr>
              <w:t>11</w:t>
            </w:r>
          </w:p>
        </w:tc>
        <w:tc>
          <w:tcPr>
            <w:tcW w:w="880" w:type="dxa"/>
            <w:shd w:val="clear" w:color="auto" w:fill="auto"/>
            <w:noWrap/>
            <w:vAlign w:val="center"/>
            <w:hideMark/>
          </w:tcPr>
          <w:p w14:paraId="72D33EA8" w14:textId="58E735CE" w:rsidR="00F875E3" w:rsidRPr="004B3E24" w:rsidRDefault="00F875E3" w:rsidP="00F875E3">
            <w:pPr>
              <w:spacing w:after="0" w:line="240" w:lineRule="auto"/>
              <w:jc w:val="center"/>
              <w:rPr>
                <w:rFonts w:ascii="Garamond" w:eastAsia="Times New Roman" w:hAnsi="Garamond" w:cs="Calibri"/>
                <w:color w:val="000000"/>
                <w:sz w:val="18"/>
                <w:szCs w:val="18"/>
              </w:rPr>
            </w:pPr>
            <w:r>
              <w:rPr>
                <w:rFonts w:ascii="Garamond" w:eastAsia="Times New Roman" w:hAnsi="Garamond" w:cs="Calibri"/>
                <w:color w:val="000000"/>
                <w:sz w:val="18"/>
                <w:szCs w:val="18"/>
              </w:rPr>
              <w:t>April 17</w:t>
            </w:r>
          </w:p>
        </w:tc>
        <w:tc>
          <w:tcPr>
            <w:tcW w:w="2680" w:type="dxa"/>
            <w:shd w:val="clear" w:color="auto" w:fill="auto"/>
            <w:vAlign w:val="center"/>
            <w:hideMark/>
          </w:tcPr>
          <w:p w14:paraId="2D179AA9" w14:textId="07083D87" w:rsidR="00F875E3" w:rsidRPr="006B74C1" w:rsidRDefault="00F875E3" w:rsidP="00F875E3">
            <w:pPr>
              <w:spacing w:after="0" w:line="240" w:lineRule="auto"/>
              <w:rPr>
                <w:rFonts w:ascii="Garamond" w:eastAsia="Times New Roman" w:hAnsi="Garamond" w:cs="Calibri"/>
                <w:b/>
                <w:color w:val="000000"/>
                <w:sz w:val="18"/>
                <w:szCs w:val="18"/>
              </w:rPr>
            </w:pPr>
            <w:r>
              <w:rPr>
                <w:rFonts w:ascii="Garamond" w:eastAsia="Times New Roman" w:hAnsi="Garamond" w:cs="Calibri"/>
                <w:color w:val="000000"/>
                <w:sz w:val="18"/>
                <w:szCs w:val="18"/>
              </w:rPr>
              <w:t xml:space="preserve">Treatment effect heterogeneity bias solutions: New estimators for treatment effect heterogeneity; parallel trend violations and Honest DID </w:t>
            </w:r>
          </w:p>
        </w:tc>
        <w:tc>
          <w:tcPr>
            <w:tcW w:w="4243" w:type="dxa"/>
            <w:shd w:val="clear" w:color="auto" w:fill="auto"/>
            <w:vAlign w:val="center"/>
          </w:tcPr>
          <w:p w14:paraId="65A6CAAA" w14:textId="1F255CE3" w:rsidR="00F875E3" w:rsidRDefault="00266839" w:rsidP="00F875E3">
            <w:pPr>
              <w:spacing w:after="0" w:line="240" w:lineRule="auto"/>
              <w:rPr>
                <w:rFonts w:ascii="Garamond" w:eastAsia="Times New Roman" w:hAnsi="Garamond" w:cs="Calibri"/>
                <w:color w:val="000000"/>
                <w:sz w:val="18"/>
                <w:szCs w:val="18"/>
              </w:rPr>
            </w:pPr>
            <w:r>
              <w:rPr>
                <w:rFonts w:ascii="Garamond" w:eastAsia="Times New Roman" w:hAnsi="Garamond" w:cs="Calibri"/>
                <w:color w:val="000000"/>
                <w:sz w:val="18"/>
                <w:szCs w:val="18"/>
              </w:rPr>
              <w:t>P</w:t>
            </w:r>
            <w:r w:rsidR="002B559B">
              <w:rPr>
                <w:rFonts w:ascii="Garamond" w:eastAsia="Times New Roman" w:hAnsi="Garamond" w:cs="Calibri"/>
                <w:color w:val="000000"/>
                <w:sz w:val="18"/>
                <w:szCs w:val="18"/>
              </w:rPr>
              <w:t>23</w:t>
            </w:r>
            <w:r>
              <w:rPr>
                <w:rFonts w:ascii="Garamond" w:eastAsia="Times New Roman" w:hAnsi="Garamond" w:cs="Calibri"/>
                <w:color w:val="000000"/>
                <w:sz w:val="18"/>
                <w:szCs w:val="18"/>
              </w:rPr>
              <w:t xml:space="preserve">: </w:t>
            </w:r>
            <w:r w:rsidR="002E0191" w:rsidRPr="002E0191">
              <w:rPr>
                <w:rFonts w:ascii="Garamond" w:eastAsia="Times New Roman" w:hAnsi="Garamond" w:cs="Calibri"/>
                <w:color w:val="000000"/>
                <w:sz w:val="18"/>
                <w:szCs w:val="18"/>
              </w:rPr>
              <w:t>Ang, Desmond. "The effects of police violence on inner-city students." </w:t>
            </w:r>
            <w:r w:rsidR="002E0191" w:rsidRPr="002E0191">
              <w:rPr>
                <w:rFonts w:ascii="Garamond" w:eastAsia="Times New Roman" w:hAnsi="Garamond" w:cs="Calibri"/>
                <w:i/>
                <w:iCs/>
                <w:color w:val="000000"/>
                <w:sz w:val="18"/>
                <w:szCs w:val="18"/>
              </w:rPr>
              <w:t>The Quarterly Journal of Economics</w:t>
            </w:r>
            <w:r w:rsidR="002E0191" w:rsidRPr="002E0191">
              <w:rPr>
                <w:rFonts w:ascii="Garamond" w:eastAsia="Times New Roman" w:hAnsi="Garamond" w:cs="Calibri"/>
                <w:color w:val="000000"/>
                <w:sz w:val="18"/>
                <w:szCs w:val="18"/>
              </w:rPr>
              <w:t> 136.1 (2021): 115-168.</w:t>
            </w:r>
          </w:p>
          <w:p w14:paraId="5574F258" w14:textId="77777777" w:rsidR="00072E2C" w:rsidRDefault="00072E2C" w:rsidP="00F875E3">
            <w:pPr>
              <w:spacing w:after="0" w:line="240" w:lineRule="auto"/>
              <w:rPr>
                <w:rFonts w:ascii="Garamond" w:eastAsia="Times New Roman" w:hAnsi="Garamond" w:cs="Calibri"/>
                <w:color w:val="000000"/>
                <w:sz w:val="18"/>
                <w:szCs w:val="18"/>
              </w:rPr>
            </w:pPr>
          </w:p>
          <w:p w14:paraId="7D9500F6" w14:textId="1C3AB0AF" w:rsidR="00072E2C" w:rsidRPr="004B3E24" w:rsidRDefault="00266839" w:rsidP="00F875E3">
            <w:pPr>
              <w:spacing w:after="0" w:line="240" w:lineRule="auto"/>
              <w:rPr>
                <w:rFonts w:ascii="Garamond" w:eastAsia="Times New Roman" w:hAnsi="Garamond" w:cs="Calibri"/>
                <w:color w:val="000000"/>
                <w:sz w:val="18"/>
                <w:szCs w:val="18"/>
              </w:rPr>
            </w:pPr>
            <w:r>
              <w:rPr>
                <w:rFonts w:ascii="Garamond" w:eastAsia="Times New Roman" w:hAnsi="Garamond" w:cs="Calibri"/>
                <w:color w:val="000000"/>
                <w:sz w:val="18"/>
                <w:szCs w:val="18"/>
              </w:rPr>
              <w:t>P2</w:t>
            </w:r>
            <w:r w:rsidR="002B559B">
              <w:rPr>
                <w:rFonts w:ascii="Garamond" w:eastAsia="Times New Roman" w:hAnsi="Garamond" w:cs="Calibri"/>
                <w:color w:val="000000"/>
                <w:sz w:val="18"/>
                <w:szCs w:val="18"/>
              </w:rPr>
              <w:t>4</w:t>
            </w:r>
            <w:r>
              <w:rPr>
                <w:rFonts w:ascii="Garamond" w:eastAsia="Times New Roman" w:hAnsi="Garamond" w:cs="Calibri"/>
                <w:color w:val="000000"/>
                <w:sz w:val="18"/>
                <w:szCs w:val="18"/>
              </w:rPr>
              <w:t xml:space="preserve">: </w:t>
            </w:r>
            <w:r w:rsidR="00072E2C" w:rsidRPr="00072E2C">
              <w:rPr>
                <w:rFonts w:ascii="Garamond" w:eastAsia="Times New Roman" w:hAnsi="Garamond" w:cs="Calibri"/>
                <w:color w:val="000000"/>
                <w:sz w:val="18"/>
                <w:szCs w:val="18"/>
              </w:rPr>
              <w:t>Brehm, Margaret E., Paul A. Brehm, and Martin Saavedra. "The Ohio vaccine lottery and starting vaccination rates." </w:t>
            </w:r>
            <w:r w:rsidR="00072E2C" w:rsidRPr="00072E2C">
              <w:rPr>
                <w:rFonts w:ascii="Garamond" w:eastAsia="Times New Roman" w:hAnsi="Garamond" w:cs="Calibri"/>
                <w:i/>
                <w:iCs/>
                <w:color w:val="000000"/>
                <w:sz w:val="18"/>
                <w:szCs w:val="18"/>
              </w:rPr>
              <w:t>American Journal of Health Economics</w:t>
            </w:r>
            <w:r w:rsidR="00072E2C" w:rsidRPr="00072E2C">
              <w:rPr>
                <w:rFonts w:ascii="Garamond" w:eastAsia="Times New Roman" w:hAnsi="Garamond" w:cs="Calibri"/>
                <w:color w:val="000000"/>
                <w:sz w:val="18"/>
                <w:szCs w:val="18"/>
              </w:rPr>
              <w:t> 8.3 (2022): 387-411.</w:t>
            </w:r>
          </w:p>
        </w:tc>
        <w:tc>
          <w:tcPr>
            <w:tcW w:w="4238" w:type="dxa"/>
            <w:shd w:val="clear" w:color="auto" w:fill="auto"/>
            <w:vAlign w:val="center"/>
          </w:tcPr>
          <w:p w14:paraId="7237BCEA" w14:textId="105BEB41" w:rsidR="00F875E3" w:rsidRDefault="00266839" w:rsidP="00F875E3">
            <w:pPr>
              <w:spacing w:after="0" w:line="240" w:lineRule="auto"/>
              <w:rPr>
                <w:rFonts w:ascii="Garamond" w:eastAsia="Times New Roman" w:hAnsi="Garamond" w:cs="Calibri"/>
                <w:color w:val="000000"/>
                <w:sz w:val="18"/>
                <w:szCs w:val="18"/>
              </w:rPr>
            </w:pPr>
            <w:r>
              <w:rPr>
                <w:rFonts w:ascii="Garamond" w:eastAsia="Times New Roman" w:hAnsi="Garamond" w:cs="Calibri"/>
                <w:color w:val="000000"/>
                <w:sz w:val="18"/>
                <w:szCs w:val="18"/>
              </w:rPr>
              <w:t>P2</w:t>
            </w:r>
            <w:r w:rsidR="002B559B">
              <w:rPr>
                <w:rFonts w:ascii="Garamond" w:eastAsia="Times New Roman" w:hAnsi="Garamond" w:cs="Calibri"/>
                <w:color w:val="000000"/>
                <w:sz w:val="18"/>
                <w:szCs w:val="18"/>
              </w:rPr>
              <w:t>5</w:t>
            </w:r>
            <w:r>
              <w:rPr>
                <w:rFonts w:ascii="Garamond" w:eastAsia="Times New Roman" w:hAnsi="Garamond" w:cs="Calibri"/>
                <w:color w:val="000000"/>
                <w:sz w:val="18"/>
                <w:szCs w:val="18"/>
              </w:rPr>
              <w:t xml:space="preserve">: </w:t>
            </w:r>
            <w:r w:rsidR="00ED0017" w:rsidRPr="00ED0017">
              <w:rPr>
                <w:rFonts w:ascii="Garamond" w:eastAsia="Times New Roman" w:hAnsi="Garamond" w:cs="Calibri"/>
                <w:color w:val="000000"/>
                <w:sz w:val="18"/>
                <w:szCs w:val="18"/>
              </w:rPr>
              <w:t>Miller, Sarah, Laura R. Wherry, and Diana Greene Foster. "The economic consequences of being denied an abortion." </w:t>
            </w:r>
            <w:r w:rsidR="00ED0017" w:rsidRPr="00ED0017">
              <w:rPr>
                <w:rFonts w:ascii="Garamond" w:eastAsia="Times New Roman" w:hAnsi="Garamond" w:cs="Calibri"/>
                <w:i/>
                <w:iCs/>
                <w:color w:val="000000"/>
                <w:sz w:val="18"/>
                <w:szCs w:val="18"/>
              </w:rPr>
              <w:t>American Economic Journal: Economic Policy</w:t>
            </w:r>
            <w:r w:rsidR="00ED0017" w:rsidRPr="00ED0017">
              <w:rPr>
                <w:rFonts w:ascii="Garamond" w:eastAsia="Times New Roman" w:hAnsi="Garamond" w:cs="Calibri"/>
                <w:color w:val="000000"/>
                <w:sz w:val="18"/>
                <w:szCs w:val="18"/>
              </w:rPr>
              <w:t> 15.1 (2023): 394-437.</w:t>
            </w:r>
          </w:p>
          <w:p w14:paraId="3401C4FD" w14:textId="77777777" w:rsidR="00ED0017" w:rsidRDefault="00ED0017" w:rsidP="00F875E3">
            <w:pPr>
              <w:spacing w:after="0" w:line="240" w:lineRule="auto"/>
              <w:rPr>
                <w:rFonts w:ascii="Garamond" w:eastAsia="Times New Roman" w:hAnsi="Garamond" w:cs="Calibri"/>
                <w:color w:val="000000"/>
                <w:sz w:val="18"/>
                <w:szCs w:val="18"/>
              </w:rPr>
            </w:pPr>
          </w:p>
          <w:p w14:paraId="23365D7F" w14:textId="77777777" w:rsidR="00ED0017" w:rsidRPr="00ED0017" w:rsidRDefault="00ED0017" w:rsidP="00ED0017">
            <w:pPr>
              <w:spacing w:after="0" w:line="240" w:lineRule="auto"/>
              <w:rPr>
                <w:rFonts w:ascii="Garamond" w:eastAsia="Times New Roman" w:hAnsi="Garamond" w:cs="Calibri"/>
                <w:color w:val="000000"/>
                <w:sz w:val="18"/>
                <w:szCs w:val="18"/>
              </w:rPr>
            </w:pPr>
          </w:p>
          <w:p w14:paraId="77ADA940" w14:textId="54456A62" w:rsidR="00ED0017" w:rsidRPr="00ED0017" w:rsidRDefault="00266839" w:rsidP="00ED0017">
            <w:pPr>
              <w:spacing w:after="0" w:line="240" w:lineRule="auto"/>
              <w:rPr>
                <w:rFonts w:ascii="Garamond" w:eastAsia="Times New Roman" w:hAnsi="Garamond" w:cs="Calibri"/>
                <w:color w:val="000000"/>
                <w:sz w:val="18"/>
                <w:szCs w:val="18"/>
              </w:rPr>
            </w:pPr>
            <w:r>
              <w:rPr>
                <w:rFonts w:ascii="Garamond" w:eastAsia="Times New Roman" w:hAnsi="Garamond" w:cs="Calibri"/>
                <w:color w:val="000000"/>
                <w:sz w:val="18"/>
                <w:szCs w:val="18"/>
              </w:rPr>
              <w:t>P2</w:t>
            </w:r>
            <w:r w:rsidR="002B559B">
              <w:rPr>
                <w:rFonts w:ascii="Garamond" w:eastAsia="Times New Roman" w:hAnsi="Garamond" w:cs="Calibri"/>
                <w:color w:val="000000"/>
                <w:sz w:val="18"/>
                <w:szCs w:val="18"/>
              </w:rPr>
              <w:t>6</w:t>
            </w:r>
            <w:r>
              <w:rPr>
                <w:rFonts w:ascii="Garamond" w:eastAsia="Times New Roman" w:hAnsi="Garamond" w:cs="Calibri"/>
                <w:color w:val="000000"/>
                <w:sz w:val="18"/>
                <w:szCs w:val="18"/>
              </w:rPr>
              <w:t xml:space="preserve">: </w:t>
            </w:r>
            <w:r w:rsidR="00ED0017" w:rsidRPr="00ED0017">
              <w:rPr>
                <w:rFonts w:ascii="Garamond" w:eastAsia="Times New Roman" w:hAnsi="Garamond" w:cs="Calibri"/>
                <w:color w:val="000000"/>
                <w:sz w:val="18"/>
                <w:szCs w:val="18"/>
              </w:rPr>
              <w:t>Campbell, Travis. "Black Lives Matter’s effect on police lethal use of force." </w:t>
            </w:r>
            <w:r w:rsidR="00ED0017" w:rsidRPr="00ED0017">
              <w:rPr>
                <w:rFonts w:ascii="Garamond" w:eastAsia="Times New Roman" w:hAnsi="Garamond" w:cs="Calibri"/>
                <w:i/>
                <w:iCs/>
                <w:color w:val="000000"/>
                <w:sz w:val="18"/>
                <w:szCs w:val="18"/>
              </w:rPr>
              <w:t>Journal of Urban Economics</w:t>
            </w:r>
            <w:r w:rsidR="00ED0017" w:rsidRPr="00ED0017">
              <w:rPr>
                <w:rFonts w:ascii="Garamond" w:eastAsia="Times New Roman" w:hAnsi="Garamond" w:cs="Calibri"/>
                <w:color w:val="000000"/>
                <w:sz w:val="18"/>
                <w:szCs w:val="18"/>
              </w:rPr>
              <w:t> (2023): 103587.</w:t>
            </w:r>
          </w:p>
          <w:p w14:paraId="5852C6B7" w14:textId="5ACE17D6" w:rsidR="00ED0017" w:rsidRPr="004B3E24" w:rsidRDefault="00ED0017" w:rsidP="00F875E3">
            <w:pPr>
              <w:spacing w:after="0" w:line="240" w:lineRule="auto"/>
              <w:rPr>
                <w:rFonts w:ascii="Garamond" w:eastAsia="Times New Roman" w:hAnsi="Garamond" w:cs="Calibri"/>
                <w:color w:val="000000"/>
                <w:sz w:val="18"/>
                <w:szCs w:val="18"/>
              </w:rPr>
            </w:pPr>
          </w:p>
        </w:tc>
        <w:tc>
          <w:tcPr>
            <w:tcW w:w="1237" w:type="dxa"/>
            <w:shd w:val="clear" w:color="auto" w:fill="auto"/>
            <w:vAlign w:val="center"/>
            <w:hideMark/>
          </w:tcPr>
          <w:p w14:paraId="7A9E434D" w14:textId="1460D508" w:rsidR="00F875E3" w:rsidRPr="004B3E24" w:rsidRDefault="00F875E3" w:rsidP="00F875E3">
            <w:pPr>
              <w:spacing w:after="0" w:line="240" w:lineRule="auto"/>
              <w:rPr>
                <w:rFonts w:ascii="Garamond" w:eastAsia="Times New Roman" w:hAnsi="Garamond" w:cs="Calibri"/>
                <w:color w:val="000000"/>
                <w:sz w:val="18"/>
                <w:szCs w:val="18"/>
              </w:rPr>
            </w:pPr>
          </w:p>
        </w:tc>
      </w:tr>
      <w:tr w:rsidR="00F875E3" w:rsidRPr="004B3E24" w14:paraId="24EDE405" w14:textId="77777777" w:rsidTr="00B412A2">
        <w:trPr>
          <w:trHeight w:val="800"/>
        </w:trPr>
        <w:tc>
          <w:tcPr>
            <w:tcW w:w="642" w:type="dxa"/>
            <w:shd w:val="clear" w:color="auto" w:fill="EDEDED" w:themeFill="accent3" w:themeFillTint="33"/>
            <w:noWrap/>
            <w:vAlign w:val="center"/>
            <w:hideMark/>
          </w:tcPr>
          <w:p w14:paraId="32DCE58A" w14:textId="056C0C35" w:rsidR="00F875E3" w:rsidRPr="004B3E24" w:rsidRDefault="00F875E3" w:rsidP="00F875E3">
            <w:pPr>
              <w:spacing w:after="0" w:line="240" w:lineRule="auto"/>
              <w:jc w:val="center"/>
              <w:rPr>
                <w:rFonts w:ascii="Garamond" w:eastAsia="Times New Roman" w:hAnsi="Garamond" w:cs="Calibri"/>
                <w:color w:val="000000"/>
                <w:sz w:val="18"/>
                <w:szCs w:val="18"/>
              </w:rPr>
            </w:pPr>
            <w:r w:rsidRPr="006F5C0E">
              <w:rPr>
                <w:rFonts w:ascii="Garamond" w:eastAsia="Times New Roman" w:hAnsi="Garamond" w:cs="Calibri"/>
                <w:color w:val="000000"/>
                <w:sz w:val="18"/>
                <w:szCs w:val="18"/>
              </w:rPr>
              <w:t>12</w:t>
            </w:r>
          </w:p>
        </w:tc>
        <w:tc>
          <w:tcPr>
            <w:tcW w:w="880" w:type="dxa"/>
            <w:shd w:val="clear" w:color="auto" w:fill="EDEDED" w:themeFill="accent3" w:themeFillTint="33"/>
            <w:noWrap/>
            <w:vAlign w:val="center"/>
            <w:hideMark/>
          </w:tcPr>
          <w:p w14:paraId="5F5EB97F" w14:textId="7E9A819E" w:rsidR="00F875E3" w:rsidRPr="004B3E24" w:rsidRDefault="00F875E3" w:rsidP="00F875E3">
            <w:pPr>
              <w:spacing w:after="0" w:line="240" w:lineRule="auto"/>
              <w:jc w:val="center"/>
              <w:rPr>
                <w:rFonts w:ascii="Garamond" w:eastAsia="Times New Roman" w:hAnsi="Garamond" w:cs="Calibri"/>
                <w:color w:val="000000"/>
                <w:sz w:val="18"/>
                <w:szCs w:val="18"/>
              </w:rPr>
            </w:pPr>
            <w:r>
              <w:rPr>
                <w:rFonts w:ascii="Garamond" w:eastAsia="Times New Roman" w:hAnsi="Garamond" w:cs="Calibri"/>
                <w:color w:val="000000"/>
                <w:sz w:val="18"/>
                <w:szCs w:val="18"/>
              </w:rPr>
              <w:t>April 24</w:t>
            </w:r>
          </w:p>
        </w:tc>
        <w:tc>
          <w:tcPr>
            <w:tcW w:w="2680" w:type="dxa"/>
            <w:shd w:val="clear" w:color="auto" w:fill="EDEDED" w:themeFill="accent3" w:themeFillTint="33"/>
            <w:vAlign w:val="center"/>
            <w:hideMark/>
          </w:tcPr>
          <w:p w14:paraId="4FFF1939" w14:textId="78AC86CF" w:rsidR="00F875E3" w:rsidRPr="004B3E24" w:rsidRDefault="00F875E3" w:rsidP="00F875E3">
            <w:pPr>
              <w:spacing w:after="0" w:line="240" w:lineRule="auto"/>
              <w:rPr>
                <w:rFonts w:ascii="Garamond" w:eastAsia="Times New Roman" w:hAnsi="Garamond" w:cs="Calibri"/>
                <w:color w:val="000000"/>
                <w:sz w:val="18"/>
                <w:szCs w:val="18"/>
              </w:rPr>
            </w:pPr>
            <w:r>
              <w:rPr>
                <w:rFonts w:ascii="Garamond" w:eastAsia="Times New Roman" w:hAnsi="Garamond" w:cs="Calibri"/>
                <w:color w:val="000000"/>
                <w:sz w:val="18"/>
                <w:szCs w:val="18"/>
              </w:rPr>
              <w:t xml:space="preserve">Present PS 3: </w:t>
            </w:r>
            <w:r w:rsidRPr="00355605">
              <w:rPr>
                <w:rFonts w:ascii="Garamond" w:eastAsia="Times New Roman" w:hAnsi="Garamond" w:cs="Calibri"/>
                <w:color w:val="000000"/>
                <w:sz w:val="18"/>
                <w:szCs w:val="18"/>
              </w:rPr>
              <w:t xml:space="preserve">Replication 3: </w:t>
            </w:r>
            <w:r w:rsidRPr="00931A42">
              <w:rPr>
                <w:rFonts w:ascii="Garamond" w:eastAsia="Times New Roman" w:hAnsi="Garamond" w:cs="Calibri"/>
                <w:color w:val="000000"/>
                <w:sz w:val="18"/>
                <w:szCs w:val="18"/>
              </w:rPr>
              <w:t>DID Treatment Effect Heterogeneity Robust and Honest DID (“presentation session”)</w:t>
            </w:r>
          </w:p>
        </w:tc>
        <w:tc>
          <w:tcPr>
            <w:tcW w:w="4243" w:type="dxa"/>
            <w:shd w:val="clear" w:color="auto" w:fill="EDEDED" w:themeFill="accent3" w:themeFillTint="33"/>
            <w:vAlign w:val="center"/>
            <w:hideMark/>
          </w:tcPr>
          <w:p w14:paraId="0877829E" w14:textId="2C162F5D" w:rsidR="00F875E3" w:rsidRPr="004B3E24" w:rsidRDefault="00F875E3" w:rsidP="00F875E3">
            <w:pPr>
              <w:spacing w:after="0" w:line="240" w:lineRule="auto"/>
              <w:rPr>
                <w:rFonts w:ascii="Garamond" w:eastAsia="Times New Roman" w:hAnsi="Garamond" w:cs="Calibri"/>
                <w:color w:val="000000"/>
                <w:sz w:val="18"/>
                <w:szCs w:val="18"/>
              </w:rPr>
            </w:pPr>
          </w:p>
        </w:tc>
        <w:tc>
          <w:tcPr>
            <w:tcW w:w="4238" w:type="dxa"/>
            <w:shd w:val="clear" w:color="auto" w:fill="EDEDED" w:themeFill="accent3" w:themeFillTint="33"/>
            <w:vAlign w:val="center"/>
          </w:tcPr>
          <w:p w14:paraId="6BDA91E1" w14:textId="0DFC8C19" w:rsidR="00F875E3" w:rsidRPr="004B3E24" w:rsidRDefault="00F875E3" w:rsidP="00F875E3">
            <w:pPr>
              <w:spacing w:after="0" w:line="240" w:lineRule="auto"/>
              <w:rPr>
                <w:rFonts w:ascii="Garamond" w:eastAsia="Times New Roman" w:hAnsi="Garamond" w:cs="Calibri"/>
                <w:color w:val="000000"/>
                <w:sz w:val="18"/>
                <w:szCs w:val="18"/>
              </w:rPr>
            </w:pPr>
          </w:p>
        </w:tc>
        <w:tc>
          <w:tcPr>
            <w:tcW w:w="1237" w:type="dxa"/>
            <w:shd w:val="clear" w:color="auto" w:fill="EDEDED" w:themeFill="accent3" w:themeFillTint="33"/>
            <w:vAlign w:val="center"/>
            <w:hideMark/>
          </w:tcPr>
          <w:p w14:paraId="3B1B6491" w14:textId="7C305DFB" w:rsidR="00F875E3" w:rsidRPr="004B3E24" w:rsidRDefault="007D2B8B" w:rsidP="00F875E3">
            <w:pPr>
              <w:spacing w:after="0" w:line="240" w:lineRule="auto"/>
              <w:rPr>
                <w:rFonts w:ascii="Garamond" w:eastAsia="Times New Roman" w:hAnsi="Garamond" w:cs="Calibri"/>
                <w:color w:val="000000"/>
                <w:sz w:val="18"/>
                <w:szCs w:val="18"/>
              </w:rPr>
            </w:pPr>
            <w:r w:rsidRPr="007D2B8B">
              <w:rPr>
                <w:rFonts w:ascii="Garamond" w:eastAsia="Times New Roman" w:hAnsi="Garamond" w:cs="Calibri"/>
                <w:color w:val="000000"/>
                <w:sz w:val="18"/>
                <w:szCs w:val="18"/>
              </w:rPr>
              <w:t>Replication 3 Due &amp; Lab</w:t>
            </w:r>
          </w:p>
        </w:tc>
      </w:tr>
      <w:tr w:rsidR="00B412A2" w:rsidRPr="004B3E24" w14:paraId="08CEDEBE" w14:textId="77777777" w:rsidTr="00B412A2">
        <w:trPr>
          <w:trHeight w:val="773"/>
        </w:trPr>
        <w:tc>
          <w:tcPr>
            <w:tcW w:w="642" w:type="dxa"/>
            <w:shd w:val="clear" w:color="auto" w:fill="FFF2CC" w:themeFill="accent4" w:themeFillTint="33"/>
            <w:noWrap/>
            <w:vAlign w:val="center"/>
            <w:hideMark/>
          </w:tcPr>
          <w:p w14:paraId="55516962" w14:textId="1F1E99CD" w:rsidR="00B412A2" w:rsidRPr="004B3E24" w:rsidRDefault="00B412A2" w:rsidP="00B412A2">
            <w:pPr>
              <w:spacing w:after="0" w:line="240" w:lineRule="auto"/>
              <w:jc w:val="center"/>
              <w:rPr>
                <w:rFonts w:ascii="Garamond" w:eastAsia="Times New Roman" w:hAnsi="Garamond" w:cs="Calibri"/>
                <w:color w:val="000000"/>
                <w:sz w:val="18"/>
                <w:szCs w:val="18"/>
              </w:rPr>
            </w:pPr>
            <w:r w:rsidRPr="006F5C0E">
              <w:rPr>
                <w:rFonts w:ascii="Garamond" w:eastAsia="Times New Roman" w:hAnsi="Garamond" w:cs="Calibri"/>
                <w:color w:val="000000"/>
                <w:sz w:val="18"/>
                <w:szCs w:val="18"/>
              </w:rPr>
              <w:t>13</w:t>
            </w:r>
          </w:p>
        </w:tc>
        <w:tc>
          <w:tcPr>
            <w:tcW w:w="880" w:type="dxa"/>
            <w:shd w:val="clear" w:color="auto" w:fill="FFF2CC" w:themeFill="accent4" w:themeFillTint="33"/>
            <w:noWrap/>
            <w:vAlign w:val="center"/>
            <w:hideMark/>
          </w:tcPr>
          <w:p w14:paraId="2F44BF13" w14:textId="1A07CE1D" w:rsidR="00B412A2" w:rsidRPr="004B3E24" w:rsidRDefault="00B412A2" w:rsidP="00B412A2">
            <w:pPr>
              <w:spacing w:after="0" w:line="240" w:lineRule="auto"/>
              <w:jc w:val="center"/>
              <w:rPr>
                <w:rFonts w:ascii="Garamond" w:eastAsia="Times New Roman" w:hAnsi="Garamond" w:cs="Calibri"/>
                <w:color w:val="000000"/>
                <w:sz w:val="18"/>
                <w:szCs w:val="18"/>
              </w:rPr>
            </w:pPr>
            <w:r>
              <w:rPr>
                <w:rFonts w:ascii="Garamond" w:eastAsia="Times New Roman" w:hAnsi="Garamond" w:cs="Calibri"/>
                <w:color w:val="000000"/>
                <w:sz w:val="18"/>
                <w:szCs w:val="18"/>
              </w:rPr>
              <w:t>May 1</w:t>
            </w:r>
          </w:p>
        </w:tc>
        <w:tc>
          <w:tcPr>
            <w:tcW w:w="2680" w:type="dxa"/>
            <w:shd w:val="clear" w:color="auto" w:fill="FFF2CC" w:themeFill="accent4" w:themeFillTint="33"/>
            <w:vAlign w:val="center"/>
            <w:hideMark/>
          </w:tcPr>
          <w:p w14:paraId="7B631A02" w14:textId="1C8E78E8" w:rsidR="00B412A2" w:rsidRPr="004B3E24" w:rsidRDefault="00B412A2" w:rsidP="00B412A2">
            <w:pPr>
              <w:spacing w:after="0" w:line="240" w:lineRule="auto"/>
              <w:rPr>
                <w:rFonts w:ascii="Garamond" w:eastAsia="Times New Roman" w:hAnsi="Garamond" w:cs="Calibri"/>
                <w:color w:val="000000"/>
                <w:sz w:val="18"/>
                <w:szCs w:val="18"/>
              </w:rPr>
            </w:pPr>
            <w:r>
              <w:rPr>
                <w:rFonts w:ascii="Garamond" w:eastAsia="Times New Roman" w:hAnsi="Garamond" w:cs="Calibri"/>
                <w:color w:val="000000"/>
                <w:sz w:val="18"/>
                <w:szCs w:val="18"/>
              </w:rPr>
              <w:t>Distribute PS 4: DID with propensity score; synthetic controls (SC); augmented synthetic controls (ASCM); synthetic DID</w:t>
            </w:r>
          </w:p>
        </w:tc>
        <w:tc>
          <w:tcPr>
            <w:tcW w:w="4243" w:type="dxa"/>
            <w:shd w:val="clear" w:color="auto" w:fill="FFF2CC" w:themeFill="accent4" w:themeFillTint="33"/>
            <w:vAlign w:val="center"/>
            <w:hideMark/>
          </w:tcPr>
          <w:p w14:paraId="2E8A3461" w14:textId="0C812558" w:rsidR="00B412A2" w:rsidRDefault="00B412A2" w:rsidP="00B412A2">
            <w:pPr>
              <w:spacing w:after="0" w:line="240" w:lineRule="auto"/>
              <w:rPr>
                <w:rFonts w:ascii="Garamond" w:eastAsia="Times New Roman" w:hAnsi="Garamond" w:cs="Calibri"/>
                <w:color w:val="000000"/>
                <w:sz w:val="18"/>
                <w:szCs w:val="18"/>
              </w:rPr>
            </w:pPr>
            <w:r>
              <w:rPr>
                <w:rFonts w:ascii="Garamond" w:eastAsia="Times New Roman" w:hAnsi="Garamond" w:cs="Calibri"/>
                <w:color w:val="000000"/>
                <w:sz w:val="18"/>
                <w:szCs w:val="18"/>
              </w:rPr>
              <w:t>P</w:t>
            </w:r>
            <w:r w:rsidR="00B03991">
              <w:rPr>
                <w:rFonts w:ascii="Garamond" w:eastAsia="Times New Roman" w:hAnsi="Garamond" w:cs="Calibri"/>
                <w:color w:val="000000"/>
                <w:sz w:val="18"/>
                <w:szCs w:val="18"/>
              </w:rPr>
              <w:t>2</w:t>
            </w:r>
            <w:r w:rsidR="002B559B">
              <w:rPr>
                <w:rFonts w:ascii="Garamond" w:eastAsia="Times New Roman" w:hAnsi="Garamond" w:cs="Calibri"/>
                <w:color w:val="000000"/>
                <w:sz w:val="18"/>
                <w:szCs w:val="18"/>
              </w:rPr>
              <w:t>7</w:t>
            </w:r>
            <w:r w:rsidR="00A81961">
              <w:rPr>
                <w:rFonts w:ascii="Garamond" w:eastAsia="Times New Roman" w:hAnsi="Garamond" w:cs="Calibri"/>
                <w:color w:val="000000"/>
                <w:sz w:val="18"/>
                <w:szCs w:val="18"/>
              </w:rPr>
              <w:t>:</w:t>
            </w:r>
            <w:r w:rsidRPr="004B3E24">
              <w:rPr>
                <w:rFonts w:ascii="Garamond" w:eastAsia="Times New Roman" w:hAnsi="Garamond" w:cs="Calibri"/>
                <w:color w:val="000000"/>
                <w:sz w:val="18"/>
                <w:szCs w:val="18"/>
              </w:rPr>
              <w:t> </w:t>
            </w:r>
            <w:r w:rsidRPr="00737C77">
              <w:rPr>
                <w:rFonts w:ascii="Garamond" w:eastAsia="Times New Roman" w:hAnsi="Garamond" w:cs="Calibri"/>
                <w:color w:val="000000"/>
                <w:sz w:val="18"/>
                <w:szCs w:val="18"/>
              </w:rPr>
              <w:t xml:space="preserve">Abadie, Alberto, Alexis Diamond, and Jens Hainmueller. "Synthetic control methods for comparative case studies: Estimating the effect of California’s tobacco control program." </w:t>
            </w:r>
            <w:r w:rsidRPr="006B6C30">
              <w:rPr>
                <w:rFonts w:ascii="Garamond" w:eastAsia="Times New Roman" w:hAnsi="Garamond" w:cs="Calibri"/>
                <w:i/>
                <w:iCs/>
                <w:color w:val="000000"/>
                <w:sz w:val="18"/>
                <w:szCs w:val="18"/>
              </w:rPr>
              <w:t>Journal of the American statistical Association</w:t>
            </w:r>
            <w:r w:rsidRPr="00737C77">
              <w:rPr>
                <w:rFonts w:ascii="Garamond" w:eastAsia="Times New Roman" w:hAnsi="Garamond" w:cs="Calibri"/>
                <w:color w:val="000000"/>
                <w:sz w:val="18"/>
                <w:szCs w:val="18"/>
              </w:rPr>
              <w:t xml:space="preserve"> 105.490 (2010): 493-505.</w:t>
            </w:r>
          </w:p>
          <w:p w14:paraId="5EB65452" w14:textId="77777777" w:rsidR="00E63853" w:rsidRDefault="00E63853" w:rsidP="00B412A2">
            <w:pPr>
              <w:spacing w:after="0" w:line="240" w:lineRule="auto"/>
              <w:rPr>
                <w:rFonts w:ascii="Garamond" w:eastAsia="Times New Roman" w:hAnsi="Garamond" w:cs="Calibri"/>
                <w:color w:val="000000"/>
                <w:sz w:val="18"/>
                <w:szCs w:val="18"/>
              </w:rPr>
            </w:pPr>
          </w:p>
          <w:p w14:paraId="23E9C453" w14:textId="105BA62D" w:rsidR="00E63853" w:rsidRPr="004B3E24" w:rsidRDefault="00E63853" w:rsidP="00B412A2">
            <w:pPr>
              <w:spacing w:after="0" w:line="240" w:lineRule="auto"/>
              <w:rPr>
                <w:rFonts w:ascii="Garamond" w:eastAsia="Times New Roman" w:hAnsi="Garamond" w:cs="Calibri"/>
                <w:color w:val="000000"/>
                <w:sz w:val="18"/>
                <w:szCs w:val="18"/>
              </w:rPr>
            </w:pPr>
            <w:r>
              <w:rPr>
                <w:rFonts w:ascii="Garamond" w:eastAsia="Times New Roman" w:hAnsi="Garamond" w:cs="Calibri"/>
                <w:color w:val="000000"/>
                <w:sz w:val="18"/>
                <w:szCs w:val="18"/>
              </w:rPr>
              <w:t>P2</w:t>
            </w:r>
            <w:r w:rsidR="002B559B">
              <w:rPr>
                <w:rFonts w:ascii="Garamond" w:eastAsia="Times New Roman" w:hAnsi="Garamond" w:cs="Calibri"/>
                <w:color w:val="000000"/>
                <w:sz w:val="18"/>
                <w:szCs w:val="18"/>
              </w:rPr>
              <w:t>8</w:t>
            </w:r>
            <w:r>
              <w:rPr>
                <w:rFonts w:ascii="Garamond" w:eastAsia="Times New Roman" w:hAnsi="Garamond" w:cs="Calibri"/>
                <w:color w:val="000000"/>
                <w:sz w:val="18"/>
                <w:szCs w:val="18"/>
              </w:rPr>
              <w:t xml:space="preserve">: </w:t>
            </w:r>
            <w:r w:rsidRPr="00E63853">
              <w:rPr>
                <w:rFonts w:ascii="Garamond" w:eastAsia="Times New Roman" w:hAnsi="Garamond" w:cs="Calibri"/>
                <w:color w:val="000000"/>
                <w:sz w:val="18"/>
                <w:szCs w:val="18"/>
              </w:rPr>
              <w:t>Jones, Damon, and Ioana Marinescu. "The labor market impacts of universal and permanent cash transfers: Evidence from the Alaska Permanent Fund." </w:t>
            </w:r>
            <w:r w:rsidRPr="00E63853">
              <w:rPr>
                <w:rFonts w:ascii="Garamond" w:eastAsia="Times New Roman" w:hAnsi="Garamond" w:cs="Calibri"/>
                <w:i/>
                <w:iCs/>
                <w:color w:val="000000"/>
                <w:sz w:val="18"/>
                <w:szCs w:val="18"/>
              </w:rPr>
              <w:t>American Economic Journal: Economic Policy</w:t>
            </w:r>
            <w:r w:rsidRPr="00E63853">
              <w:rPr>
                <w:rFonts w:ascii="Garamond" w:eastAsia="Times New Roman" w:hAnsi="Garamond" w:cs="Calibri"/>
                <w:color w:val="000000"/>
                <w:sz w:val="18"/>
                <w:szCs w:val="18"/>
              </w:rPr>
              <w:t> 14.2 (2022): 315-340.</w:t>
            </w:r>
          </w:p>
        </w:tc>
        <w:tc>
          <w:tcPr>
            <w:tcW w:w="4238" w:type="dxa"/>
            <w:shd w:val="clear" w:color="auto" w:fill="FFF2CC" w:themeFill="accent4" w:themeFillTint="33"/>
            <w:vAlign w:val="center"/>
          </w:tcPr>
          <w:p w14:paraId="1834FB6C" w14:textId="2EFBD988" w:rsidR="00B412A2" w:rsidRDefault="00B412A2" w:rsidP="00B412A2">
            <w:pPr>
              <w:spacing w:after="0" w:line="240" w:lineRule="auto"/>
              <w:rPr>
                <w:rFonts w:ascii="Garamond" w:eastAsia="Times New Roman" w:hAnsi="Garamond" w:cs="Calibri"/>
                <w:color w:val="000000"/>
                <w:sz w:val="18"/>
                <w:szCs w:val="18"/>
              </w:rPr>
            </w:pPr>
            <w:r>
              <w:rPr>
                <w:rFonts w:ascii="Garamond" w:eastAsia="Times New Roman" w:hAnsi="Garamond" w:cs="Calibri"/>
                <w:color w:val="000000"/>
                <w:sz w:val="18"/>
                <w:szCs w:val="18"/>
              </w:rPr>
              <w:t>P</w:t>
            </w:r>
            <w:r w:rsidR="00B03991">
              <w:rPr>
                <w:rFonts w:ascii="Garamond" w:eastAsia="Times New Roman" w:hAnsi="Garamond" w:cs="Calibri"/>
                <w:color w:val="000000"/>
                <w:sz w:val="18"/>
                <w:szCs w:val="18"/>
              </w:rPr>
              <w:t>2</w:t>
            </w:r>
            <w:r w:rsidR="002B559B">
              <w:rPr>
                <w:rFonts w:ascii="Garamond" w:eastAsia="Times New Roman" w:hAnsi="Garamond" w:cs="Calibri"/>
                <w:color w:val="000000"/>
                <w:sz w:val="18"/>
                <w:szCs w:val="18"/>
              </w:rPr>
              <w:t>9</w:t>
            </w:r>
            <w:r w:rsidR="00A81961">
              <w:rPr>
                <w:rFonts w:ascii="Garamond" w:eastAsia="Times New Roman" w:hAnsi="Garamond" w:cs="Calibri"/>
                <w:color w:val="000000"/>
                <w:sz w:val="18"/>
                <w:szCs w:val="18"/>
              </w:rPr>
              <w:t>:</w:t>
            </w:r>
            <w:r w:rsidRPr="004B3E24">
              <w:rPr>
                <w:rFonts w:ascii="Garamond" w:eastAsia="Times New Roman" w:hAnsi="Garamond" w:cs="Calibri"/>
                <w:color w:val="000000"/>
                <w:sz w:val="18"/>
                <w:szCs w:val="18"/>
              </w:rPr>
              <w:t> </w:t>
            </w:r>
            <w:r w:rsidRPr="00737C77">
              <w:rPr>
                <w:rFonts w:ascii="Garamond" w:eastAsia="Times New Roman" w:hAnsi="Garamond" w:cs="Calibri"/>
                <w:color w:val="000000"/>
                <w:sz w:val="18"/>
                <w:szCs w:val="18"/>
              </w:rPr>
              <w:t>Shores, Kenneth A., Christopher A. Candelaria, and Sarah E. Kabourek. "Spending More on the Poor? A Comprehensive Summary of State-Specific Responses to School Finance Reforms from 1990–2014." </w:t>
            </w:r>
            <w:r w:rsidRPr="00737C77">
              <w:rPr>
                <w:rFonts w:ascii="Garamond" w:eastAsia="Times New Roman" w:hAnsi="Garamond" w:cs="Calibri"/>
                <w:i/>
                <w:iCs/>
                <w:color w:val="000000"/>
                <w:sz w:val="18"/>
                <w:szCs w:val="18"/>
              </w:rPr>
              <w:t>Education Finance and Policy</w:t>
            </w:r>
            <w:r w:rsidRPr="00737C77">
              <w:rPr>
                <w:rFonts w:ascii="Garamond" w:eastAsia="Times New Roman" w:hAnsi="Garamond" w:cs="Calibri"/>
                <w:color w:val="000000"/>
                <w:sz w:val="18"/>
                <w:szCs w:val="18"/>
              </w:rPr>
              <w:t> (2019): 1-50.</w:t>
            </w:r>
          </w:p>
          <w:p w14:paraId="21316F44" w14:textId="77777777" w:rsidR="00A81961" w:rsidRDefault="00A81961" w:rsidP="00B412A2">
            <w:pPr>
              <w:spacing w:after="0" w:line="240" w:lineRule="auto"/>
              <w:rPr>
                <w:rFonts w:ascii="Garamond" w:eastAsia="Times New Roman" w:hAnsi="Garamond" w:cs="Calibri"/>
                <w:color w:val="000000"/>
                <w:sz w:val="18"/>
                <w:szCs w:val="18"/>
              </w:rPr>
            </w:pPr>
          </w:p>
          <w:p w14:paraId="5A1D78E5" w14:textId="6FAE2C70" w:rsidR="00A81961" w:rsidRPr="004B3E24" w:rsidRDefault="00A81961" w:rsidP="00B412A2">
            <w:pPr>
              <w:spacing w:after="0" w:line="240" w:lineRule="auto"/>
              <w:rPr>
                <w:rFonts w:ascii="Garamond" w:eastAsia="Times New Roman" w:hAnsi="Garamond" w:cs="Calibri"/>
                <w:color w:val="000000"/>
                <w:sz w:val="18"/>
                <w:szCs w:val="18"/>
              </w:rPr>
            </w:pPr>
            <w:r>
              <w:rPr>
                <w:rFonts w:ascii="Garamond" w:eastAsia="Times New Roman" w:hAnsi="Garamond" w:cs="Calibri"/>
                <w:color w:val="000000"/>
                <w:sz w:val="18"/>
                <w:szCs w:val="18"/>
              </w:rPr>
              <w:t>P</w:t>
            </w:r>
            <w:r w:rsidR="002B559B">
              <w:rPr>
                <w:rFonts w:ascii="Garamond" w:eastAsia="Times New Roman" w:hAnsi="Garamond" w:cs="Calibri"/>
                <w:color w:val="000000"/>
                <w:sz w:val="18"/>
                <w:szCs w:val="18"/>
              </w:rPr>
              <w:t>30</w:t>
            </w:r>
            <w:r>
              <w:rPr>
                <w:rFonts w:ascii="Garamond" w:eastAsia="Times New Roman" w:hAnsi="Garamond" w:cs="Calibri"/>
                <w:color w:val="000000"/>
                <w:sz w:val="18"/>
                <w:szCs w:val="18"/>
              </w:rPr>
              <w:t xml:space="preserve">: </w:t>
            </w:r>
            <w:r w:rsidRPr="00A81961">
              <w:rPr>
                <w:rFonts w:ascii="Garamond" w:eastAsia="Times New Roman" w:hAnsi="Garamond" w:cs="Calibri"/>
                <w:color w:val="000000"/>
                <w:sz w:val="18"/>
                <w:szCs w:val="18"/>
              </w:rPr>
              <w:t>Acharya, Binod, and Chandra Dhakal. "Implementation of state vaccine incentive lottery programs and uptake of COVID-19 vaccinations in the United States." </w:t>
            </w:r>
            <w:r w:rsidRPr="00A81961">
              <w:rPr>
                <w:rFonts w:ascii="Garamond" w:eastAsia="Times New Roman" w:hAnsi="Garamond" w:cs="Calibri"/>
                <w:i/>
                <w:iCs/>
                <w:color w:val="000000"/>
                <w:sz w:val="18"/>
                <w:szCs w:val="18"/>
              </w:rPr>
              <w:t>JAMA Network Open</w:t>
            </w:r>
            <w:r w:rsidRPr="00A81961">
              <w:rPr>
                <w:rFonts w:ascii="Garamond" w:eastAsia="Times New Roman" w:hAnsi="Garamond" w:cs="Calibri"/>
                <w:color w:val="000000"/>
                <w:sz w:val="18"/>
                <w:szCs w:val="18"/>
              </w:rPr>
              <w:t> 4.12 (2021): e2138238-e2138238.</w:t>
            </w:r>
          </w:p>
        </w:tc>
        <w:tc>
          <w:tcPr>
            <w:tcW w:w="1237" w:type="dxa"/>
            <w:shd w:val="clear" w:color="auto" w:fill="FFF2CC" w:themeFill="accent4" w:themeFillTint="33"/>
            <w:vAlign w:val="center"/>
            <w:hideMark/>
          </w:tcPr>
          <w:p w14:paraId="37B3D3BE" w14:textId="4AF85EC0" w:rsidR="00B412A2" w:rsidRPr="004B3E24" w:rsidRDefault="007D2B8B" w:rsidP="00B412A2">
            <w:pPr>
              <w:spacing w:after="0" w:line="240" w:lineRule="auto"/>
              <w:rPr>
                <w:rFonts w:ascii="Garamond" w:eastAsia="Times New Roman" w:hAnsi="Garamond" w:cs="Calibri"/>
                <w:color w:val="000000"/>
                <w:sz w:val="18"/>
                <w:szCs w:val="18"/>
              </w:rPr>
            </w:pPr>
            <w:r>
              <w:rPr>
                <w:rFonts w:ascii="Garamond" w:eastAsia="Times New Roman" w:hAnsi="Garamond" w:cs="Calibri"/>
                <w:color w:val="000000"/>
                <w:sz w:val="18"/>
                <w:szCs w:val="18"/>
              </w:rPr>
              <w:t>Replication 4 Assigned: SCM</w:t>
            </w:r>
          </w:p>
        </w:tc>
      </w:tr>
      <w:tr w:rsidR="00B412A2" w:rsidRPr="004B3E24" w14:paraId="15DF87A0" w14:textId="77777777" w:rsidTr="00B412A2">
        <w:trPr>
          <w:trHeight w:val="300"/>
        </w:trPr>
        <w:tc>
          <w:tcPr>
            <w:tcW w:w="642" w:type="dxa"/>
            <w:shd w:val="clear" w:color="auto" w:fill="auto"/>
            <w:noWrap/>
            <w:vAlign w:val="center"/>
            <w:hideMark/>
          </w:tcPr>
          <w:p w14:paraId="0343D3C7" w14:textId="60177DE9" w:rsidR="00B412A2" w:rsidRPr="004B3E24" w:rsidRDefault="00B412A2" w:rsidP="00B412A2">
            <w:pPr>
              <w:spacing w:after="0" w:line="240" w:lineRule="auto"/>
              <w:jc w:val="center"/>
              <w:rPr>
                <w:rFonts w:ascii="Garamond" w:eastAsia="Times New Roman" w:hAnsi="Garamond" w:cs="Calibri"/>
                <w:color w:val="000000"/>
                <w:sz w:val="18"/>
                <w:szCs w:val="18"/>
              </w:rPr>
            </w:pPr>
            <w:r>
              <w:rPr>
                <w:rFonts w:ascii="Garamond" w:eastAsia="Times New Roman" w:hAnsi="Garamond" w:cs="Calibri"/>
                <w:color w:val="000000"/>
                <w:sz w:val="18"/>
                <w:szCs w:val="18"/>
              </w:rPr>
              <w:t>14</w:t>
            </w:r>
            <w:r w:rsidRPr="006F5C0E">
              <w:rPr>
                <w:rFonts w:ascii="Garamond" w:eastAsia="Times New Roman" w:hAnsi="Garamond" w:cs="Calibri"/>
                <w:color w:val="000000"/>
                <w:sz w:val="18"/>
                <w:szCs w:val="18"/>
              </w:rPr>
              <w:t> </w:t>
            </w:r>
          </w:p>
        </w:tc>
        <w:tc>
          <w:tcPr>
            <w:tcW w:w="880" w:type="dxa"/>
            <w:shd w:val="clear" w:color="auto" w:fill="auto"/>
            <w:noWrap/>
            <w:vAlign w:val="center"/>
            <w:hideMark/>
          </w:tcPr>
          <w:p w14:paraId="5C2027F9" w14:textId="2356912A" w:rsidR="00B412A2" w:rsidRPr="004B3E24" w:rsidRDefault="00B412A2" w:rsidP="00B412A2">
            <w:pPr>
              <w:spacing w:after="0" w:line="240" w:lineRule="auto"/>
              <w:jc w:val="center"/>
              <w:rPr>
                <w:rFonts w:ascii="Garamond" w:eastAsia="Times New Roman" w:hAnsi="Garamond" w:cs="Calibri"/>
                <w:color w:val="000000"/>
                <w:sz w:val="18"/>
                <w:szCs w:val="18"/>
              </w:rPr>
            </w:pPr>
            <w:r>
              <w:rPr>
                <w:rFonts w:ascii="Garamond" w:eastAsia="Times New Roman" w:hAnsi="Garamond" w:cs="Calibri"/>
                <w:color w:val="000000"/>
                <w:sz w:val="18"/>
                <w:szCs w:val="18"/>
              </w:rPr>
              <w:t>May 8</w:t>
            </w:r>
          </w:p>
        </w:tc>
        <w:tc>
          <w:tcPr>
            <w:tcW w:w="2680" w:type="dxa"/>
            <w:shd w:val="clear" w:color="auto" w:fill="auto"/>
            <w:vAlign w:val="center"/>
            <w:hideMark/>
          </w:tcPr>
          <w:p w14:paraId="58AA5B84" w14:textId="20C122B7" w:rsidR="00B412A2" w:rsidRPr="004B3E24" w:rsidRDefault="00B412A2" w:rsidP="00B412A2">
            <w:pPr>
              <w:spacing w:after="0" w:line="240" w:lineRule="auto"/>
              <w:rPr>
                <w:rFonts w:ascii="Garamond" w:eastAsia="Times New Roman" w:hAnsi="Garamond" w:cs="Calibri"/>
                <w:b/>
                <w:bCs/>
                <w:color w:val="000000"/>
                <w:sz w:val="18"/>
                <w:szCs w:val="18"/>
              </w:rPr>
            </w:pPr>
          </w:p>
        </w:tc>
        <w:tc>
          <w:tcPr>
            <w:tcW w:w="4243" w:type="dxa"/>
            <w:shd w:val="clear" w:color="auto" w:fill="auto"/>
            <w:vAlign w:val="center"/>
          </w:tcPr>
          <w:p w14:paraId="1A85C28E" w14:textId="2EB77A79" w:rsidR="00B412A2" w:rsidRPr="004B3E24" w:rsidRDefault="00B412A2" w:rsidP="00B412A2">
            <w:pPr>
              <w:spacing w:after="0" w:line="240" w:lineRule="auto"/>
              <w:rPr>
                <w:rFonts w:ascii="Garamond" w:eastAsia="Times New Roman" w:hAnsi="Garamond" w:cs="Calibri"/>
                <w:color w:val="000000"/>
                <w:sz w:val="18"/>
                <w:szCs w:val="18"/>
              </w:rPr>
            </w:pPr>
          </w:p>
        </w:tc>
        <w:tc>
          <w:tcPr>
            <w:tcW w:w="4238" w:type="dxa"/>
            <w:shd w:val="clear" w:color="auto" w:fill="auto"/>
            <w:vAlign w:val="center"/>
          </w:tcPr>
          <w:p w14:paraId="18856EC5" w14:textId="18812D67" w:rsidR="00B412A2" w:rsidRPr="004B3E24" w:rsidRDefault="00B412A2" w:rsidP="00B412A2">
            <w:pPr>
              <w:spacing w:after="0" w:line="240" w:lineRule="auto"/>
              <w:rPr>
                <w:rFonts w:ascii="Garamond" w:eastAsia="Times New Roman" w:hAnsi="Garamond" w:cs="Calibri"/>
                <w:color w:val="000000"/>
                <w:sz w:val="18"/>
                <w:szCs w:val="18"/>
              </w:rPr>
            </w:pPr>
          </w:p>
        </w:tc>
        <w:tc>
          <w:tcPr>
            <w:tcW w:w="1237" w:type="dxa"/>
            <w:shd w:val="clear" w:color="auto" w:fill="auto"/>
            <w:vAlign w:val="center"/>
            <w:hideMark/>
          </w:tcPr>
          <w:p w14:paraId="51F74359" w14:textId="77777777" w:rsidR="00B412A2" w:rsidRPr="004B3E24" w:rsidRDefault="00B412A2" w:rsidP="00B412A2">
            <w:pPr>
              <w:spacing w:after="0" w:line="240" w:lineRule="auto"/>
              <w:rPr>
                <w:rFonts w:ascii="Garamond" w:eastAsia="Times New Roman" w:hAnsi="Garamond" w:cs="Calibri"/>
                <w:color w:val="000000"/>
                <w:sz w:val="18"/>
                <w:szCs w:val="18"/>
              </w:rPr>
            </w:pPr>
            <w:r w:rsidRPr="004B3E24">
              <w:rPr>
                <w:rFonts w:ascii="Garamond" w:eastAsia="Times New Roman" w:hAnsi="Garamond" w:cs="Calibri"/>
                <w:color w:val="000000"/>
                <w:sz w:val="18"/>
                <w:szCs w:val="18"/>
              </w:rPr>
              <w:t> </w:t>
            </w:r>
          </w:p>
        </w:tc>
      </w:tr>
      <w:tr w:rsidR="00B412A2" w:rsidRPr="004B3E24" w14:paraId="72A14F72" w14:textId="77777777" w:rsidTr="00631C70">
        <w:trPr>
          <w:trHeight w:val="593"/>
        </w:trPr>
        <w:tc>
          <w:tcPr>
            <w:tcW w:w="642" w:type="dxa"/>
            <w:shd w:val="clear" w:color="auto" w:fill="EDEDED" w:themeFill="accent3" w:themeFillTint="33"/>
            <w:noWrap/>
            <w:vAlign w:val="center"/>
            <w:hideMark/>
          </w:tcPr>
          <w:p w14:paraId="3B62B3E2" w14:textId="1B99D668" w:rsidR="00B412A2" w:rsidRPr="004B3E24" w:rsidRDefault="00B412A2" w:rsidP="00B412A2">
            <w:pPr>
              <w:spacing w:after="0" w:line="240" w:lineRule="auto"/>
              <w:jc w:val="center"/>
              <w:rPr>
                <w:rFonts w:ascii="Garamond" w:eastAsia="Times New Roman" w:hAnsi="Garamond" w:cs="Calibri"/>
                <w:color w:val="000000"/>
                <w:sz w:val="18"/>
                <w:szCs w:val="18"/>
              </w:rPr>
            </w:pPr>
            <w:r w:rsidRPr="006F5C0E">
              <w:rPr>
                <w:rFonts w:ascii="Garamond" w:eastAsia="Times New Roman" w:hAnsi="Garamond" w:cs="Calibri"/>
                <w:color w:val="000000"/>
                <w:sz w:val="18"/>
                <w:szCs w:val="18"/>
              </w:rPr>
              <w:t>1</w:t>
            </w:r>
            <w:r>
              <w:rPr>
                <w:rFonts w:ascii="Garamond" w:eastAsia="Times New Roman" w:hAnsi="Garamond" w:cs="Calibri"/>
                <w:color w:val="000000"/>
                <w:sz w:val="18"/>
                <w:szCs w:val="18"/>
              </w:rPr>
              <w:t>5</w:t>
            </w:r>
          </w:p>
        </w:tc>
        <w:tc>
          <w:tcPr>
            <w:tcW w:w="880" w:type="dxa"/>
            <w:shd w:val="clear" w:color="auto" w:fill="EDEDED" w:themeFill="accent3" w:themeFillTint="33"/>
            <w:noWrap/>
            <w:vAlign w:val="center"/>
            <w:hideMark/>
          </w:tcPr>
          <w:p w14:paraId="549BA5C4" w14:textId="12A0A221" w:rsidR="00B412A2" w:rsidRPr="004B3E24" w:rsidRDefault="00B412A2" w:rsidP="00B412A2">
            <w:pPr>
              <w:spacing w:after="0" w:line="240" w:lineRule="auto"/>
              <w:jc w:val="center"/>
              <w:rPr>
                <w:rFonts w:ascii="Garamond" w:eastAsia="Times New Roman" w:hAnsi="Garamond" w:cs="Calibri"/>
                <w:color w:val="000000"/>
                <w:sz w:val="18"/>
                <w:szCs w:val="18"/>
              </w:rPr>
            </w:pPr>
            <w:r>
              <w:rPr>
                <w:rFonts w:ascii="Garamond" w:eastAsia="Times New Roman" w:hAnsi="Garamond" w:cs="Calibri"/>
                <w:color w:val="000000"/>
                <w:sz w:val="18"/>
                <w:szCs w:val="18"/>
              </w:rPr>
              <w:t>May 15</w:t>
            </w:r>
          </w:p>
        </w:tc>
        <w:tc>
          <w:tcPr>
            <w:tcW w:w="2680" w:type="dxa"/>
            <w:shd w:val="clear" w:color="auto" w:fill="EDEDED" w:themeFill="accent3" w:themeFillTint="33"/>
            <w:vAlign w:val="center"/>
            <w:hideMark/>
          </w:tcPr>
          <w:p w14:paraId="723320AC" w14:textId="1D60CC89" w:rsidR="00B412A2" w:rsidRPr="004B3E24" w:rsidRDefault="00B412A2" w:rsidP="00B412A2">
            <w:pPr>
              <w:spacing w:after="0" w:line="240" w:lineRule="auto"/>
              <w:rPr>
                <w:rFonts w:ascii="Garamond" w:eastAsia="Times New Roman" w:hAnsi="Garamond" w:cs="Calibri"/>
                <w:color w:val="000000"/>
                <w:sz w:val="18"/>
                <w:szCs w:val="18"/>
              </w:rPr>
            </w:pPr>
            <w:r>
              <w:rPr>
                <w:rFonts w:ascii="Garamond" w:eastAsia="Times New Roman" w:hAnsi="Garamond" w:cs="Calibri"/>
                <w:color w:val="000000"/>
                <w:sz w:val="18"/>
                <w:szCs w:val="18"/>
              </w:rPr>
              <w:t xml:space="preserve">Present PS 4: Replication 4: SCM/ASCM </w:t>
            </w:r>
            <w:r w:rsidRPr="00B8610E">
              <w:rPr>
                <w:rFonts w:ascii="Garamond" w:eastAsia="Times New Roman" w:hAnsi="Garamond" w:cs="Calibri"/>
                <w:color w:val="000000"/>
                <w:sz w:val="18"/>
                <w:szCs w:val="18"/>
              </w:rPr>
              <w:t>(“presentation session”)</w:t>
            </w:r>
          </w:p>
        </w:tc>
        <w:tc>
          <w:tcPr>
            <w:tcW w:w="4243" w:type="dxa"/>
            <w:shd w:val="clear" w:color="auto" w:fill="EDEDED" w:themeFill="accent3" w:themeFillTint="33"/>
            <w:vAlign w:val="center"/>
            <w:hideMark/>
          </w:tcPr>
          <w:p w14:paraId="2E7969D6" w14:textId="587132C8" w:rsidR="00B412A2" w:rsidRPr="004B3E24" w:rsidRDefault="00B412A2" w:rsidP="00B412A2">
            <w:pPr>
              <w:spacing w:after="0" w:line="240" w:lineRule="auto"/>
              <w:rPr>
                <w:rFonts w:ascii="Garamond" w:eastAsia="Times New Roman" w:hAnsi="Garamond" w:cs="Calibri"/>
                <w:color w:val="000000"/>
                <w:sz w:val="18"/>
                <w:szCs w:val="18"/>
              </w:rPr>
            </w:pPr>
          </w:p>
        </w:tc>
        <w:tc>
          <w:tcPr>
            <w:tcW w:w="4238" w:type="dxa"/>
            <w:shd w:val="clear" w:color="auto" w:fill="EDEDED" w:themeFill="accent3" w:themeFillTint="33"/>
            <w:vAlign w:val="center"/>
            <w:hideMark/>
          </w:tcPr>
          <w:p w14:paraId="02DDFA42" w14:textId="77777777" w:rsidR="00B412A2" w:rsidRPr="004B3E24" w:rsidRDefault="00B412A2" w:rsidP="00B412A2">
            <w:pPr>
              <w:spacing w:after="0" w:line="240" w:lineRule="auto"/>
              <w:rPr>
                <w:rFonts w:ascii="Garamond" w:eastAsia="Times New Roman" w:hAnsi="Garamond" w:cs="Calibri"/>
                <w:color w:val="000000"/>
                <w:sz w:val="18"/>
                <w:szCs w:val="18"/>
              </w:rPr>
            </w:pPr>
            <w:r w:rsidRPr="004B3E24">
              <w:rPr>
                <w:rFonts w:ascii="Garamond" w:eastAsia="Times New Roman" w:hAnsi="Garamond" w:cs="Calibri"/>
                <w:color w:val="000000"/>
                <w:sz w:val="18"/>
                <w:szCs w:val="18"/>
              </w:rPr>
              <w:t> </w:t>
            </w:r>
          </w:p>
        </w:tc>
        <w:tc>
          <w:tcPr>
            <w:tcW w:w="1237" w:type="dxa"/>
            <w:shd w:val="clear" w:color="auto" w:fill="EDEDED" w:themeFill="accent3" w:themeFillTint="33"/>
            <w:vAlign w:val="center"/>
            <w:hideMark/>
          </w:tcPr>
          <w:p w14:paraId="18D65C58" w14:textId="2DE9C493" w:rsidR="00B412A2" w:rsidRPr="004B3E24" w:rsidRDefault="007D2B8B" w:rsidP="00B412A2">
            <w:pPr>
              <w:spacing w:after="0" w:line="240" w:lineRule="auto"/>
              <w:rPr>
                <w:rFonts w:ascii="Garamond" w:eastAsia="Times New Roman" w:hAnsi="Garamond" w:cs="Calibri"/>
                <w:color w:val="000000"/>
                <w:sz w:val="18"/>
                <w:szCs w:val="18"/>
              </w:rPr>
            </w:pPr>
            <w:r>
              <w:rPr>
                <w:rFonts w:ascii="Garamond" w:eastAsia="Times New Roman" w:hAnsi="Garamond" w:cs="Calibri"/>
                <w:color w:val="000000"/>
                <w:sz w:val="18"/>
                <w:szCs w:val="18"/>
              </w:rPr>
              <w:t>Replication 4 Due &amp; Lab</w:t>
            </w:r>
          </w:p>
        </w:tc>
      </w:tr>
    </w:tbl>
    <w:p w14:paraId="0C090AAC" w14:textId="77777777" w:rsidR="00B23BD6" w:rsidRDefault="00B23BD6" w:rsidP="0073697B">
      <w:pPr>
        <w:pStyle w:val="Default"/>
      </w:pPr>
    </w:p>
    <w:p w14:paraId="00B264DD" w14:textId="5F123883" w:rsidR="00DA39AF" w:rsidRDefault="00DA39AF" w:rsidP="0073697B">
      <w:pPr>
        <w:pStyle w:val="Default"/>
      </w:pPr>
      <w:r>
        <w:br w:type="page"/>
      </w:r>
    </w:p>
    <w:p w14:paraId="23283199" w14:textId="77777777" w:rsidR="00DA39AF" w:rsidRDefault="00DA39AF" w:rsidP="00DA39AF">
      <w:pPr>
        <w:pStyle w:val="Default"/>
        <w:rPr>
          <w:b/>
          <w:bCs/>
        </w:rPr>
      </w:pPr>
      <w:r w:rsidRPr="00BC6B43">
        <w:rPr>
          <w:b/>
          <w:bCs/>
        </w:rPr>
        <w:lastRenderedPageBreak/>
        <w:t>TA Lab sessions:</w:t>
      </w:r>
    </w:p>
    <w:tbl>
      <w:tblPr>
        <w:tblStyle w:val="TableGrid"/>
        <w:tblW w:w="14662" w:type="dxa"/>
        <w:tblLook w:val="04A0" w:firstRow="1" w:lastRow="0" w:firstColumn="1" w:lastColumn="0" w:noHBand="0" w:noVBand="1"/>
      </w:tblPr>
      <w:tblGrid>
        <w:gridCol w:w="763"/>
        <w:gridCol w:w="1070"/>
        <w:gridCol w:w="5140"/>
        <w:gridCol w:w="7689"/>
      </w:tblGrid>
      <w:tr w:rsidR="003F09A7" w:rsidRPr="003F09A7" w14:paraId="4C001652" w14:textId="77777777" w:rsidTr="003F09A7">
        <w:trPr>
          <w:trHeight w:val="221"/>
        </w:trPr>
        <w:tc>
          <w:tcPr>
            <w:tcW w:w="763" w:type="dxa"/>
          </w:tcPr>
          <w:p w14:paraId="58038356" w14:textId="4F56CE43" w:rsidR="003F09A7" w:rsidRPr="003F09A7" w:rsidRDefault="003F09A7" w:rsidP="006D4C07">
            <w:pPr>
              <w:pStyle w:val="Default"/>
              <w:jc w:val="center"/>
              <w:rPr>
                <w:b/>
                <w:bCs/>
                <w:sz w:val="19"/>
                <w:szCs w:val="19"/>
              </w:rPr>
            </w:pPr>
            <w:r w:rsidRPr="003F09A7">
              <w:rPr>
                <w:b/>
                <w:bCs/>
                <w:sz w:val="19"/>
                <w:szCs w:val="19"/>
              </w:rPr>
              <w:t>9.5</w:t>
            </w:r>
          </w:p>
        </w:tc>
        <w:tc>
          <w:tcPr>
            <w:tcW w:w="1070" w:type="dxa"/>
          </w:tcPr>
          <w:p w14:paraId="19D26265" w14:textId="77777777" w:rsidR="003F09A7" w:rsidRPr="003F09A7" w:rsidRDefault="003F09A7" w:rsidP="006D4C07">
            <w:pPr>
              <w:pStyle w:val="Default"/>
              <w:jc w:val="center"/>
              <w:rPr>
                <w:b/>
                <w:bCs/>
                <w:sz w:val="19"/>
                <w:szCs w:val="19"/>
              </w:rPr>
            </w:pPr>
            <w:r w:rsidRPr="003F09A7">
              <w:rPr>
                <w:b/>
                <w:bCs/>
                <w:sz w:val="19"/>
                <w:szCs w:val="19"/>
              </w:rPr>
              <w:t>Date</w:t>
            </w:r>
          </w:p>
        </w:tc>
        <w:tc>
          <w:tcPr>
            <w:tcW w:w="5140" w:type="dxa"/>
          </w:tcPr>
          <w:p w14:paraId="3715829A" w14:textId="77777777" w:rsidR="003F09A7" w:rsidRPr="003F09A7" w:rsidRDefault="003F09A7" w:rsidP="006D4C07">
            <w:pPr>
              <w:pStyle w:val="Default"/>
              <w:jc w:val="center"/>
              <w:rPr>
                <w:b/>
                <w:bCs/>
                <w:sz w:val="19"/>
                <w:szCs w:val="19"/>
              </w:rPr>
            </w:pPr>
            <w:r w:rsidRPr="003F09A7">
              <w:rPr>
                <w:b/>
                <w:bCs/>
                <w:sz w:val="19"/>
                <w:szCs w:val="19"/>
              </w:rPr>
              <w:t>Topic</w:t>
            </w:r>
          </w:p>
        </w:tc>
        <w:tc>
          <w:tcPr>
            <w:tcW w:w="7689" w:type="dxa"/>
          </w:tcPr>
          <w:p w14:paraId="4F40137A" w14:textId="77777777" w:rsidR="003F09A7" w:rsidRPr="003F09A7" w:rsidRDefault="003F09A7" w:rsidP="006D4C07">
            <w:pPr>
              <w:pStyle w:val="Default"/>
              <w:jc w:val="center"/>
              <w:rPr>
                <w:b/>
                <w:bCs/>
                <w:sz w:val="19"/>
                <w:szCs w:val="19"/>
              </w:rPr>
            </w:pPr>
            <w:r w:rsidRPr="003F09A7">
              <w:rPr>
                <w:b/>
                <w:bCs/>
                <w:sz w:val="19"/>
                <w:szCs w:val="19"/>
              </w:rPr>
              <w:t>Readings</w:t>
            </w:r>
          </w:p>
        </w:tc>
      </w:tr>
      <w:tr w:rsidR="003F09A7" w:rsidRPr="003F09A7" w14:paraId="4FC6A4FC" w14:textId="77777777" w:rsidTr="003F09A7">
        <w:trPr>
          <w:trHeight w:val="1331"/>
        </w:trPr>
        <w:tc>
          <w:tcPr>
            <w:tcW w:w="763" w:type="dxa"/>
            <w:vAlign w:val="center"/>
          </w:tcPr>
          <w:p w14:paraId="3A652394" w14:textId="77777777" w:rsidR="003F09A7" w:rsidRPr="003F09A7" w:rsidRDefault="003F09A7" w:rsidP="002F746F">
            <w:pPr>
              <w:pStyle w:val="Default"/>
              <w:jc w:val="center"/>
              <w:rPr>
                <w:sz w:val="19"/>
                <w:szCs w:val="19"/>
              </w:rPr>
            </w:pPr>
            <w:r w:rsidRPr="003F09A7">
              <w:rPr>
                <w:sz w:val="19"/>
                <w:szCs w:val="19"/>
              </w:rPr>
              <w:t>2</w:t>
            </w:r>
          </w:p>
        </w:tc>
        <w:tc>
          <w:tcPr>
            <w:tcW w:w="1070" w:type="dxa"/>
          </w:tcPr>
          <w:p w14:paraId="5512ABCC" w14:textId="77777777" w:rsidR="003F09A7" w:rsidRPr="003F09A7" w:rsidRDefault="003F09A7" w:rsidP="002F746F">
            <w:pPr>
              <w:pStyle w:val="Default"/>
              <w:jc w:val="center"/>
              <w:rPr>
                <w:sz w:val="19"/>
                <w:szCs w:val="19"/>
              </w:rPr>
            </w:pPr>
            <w:r w:rsidRPr="003F09A7">
              <w:rPr>
                <w:sz w:val="19"/>
                <w:szCs w:val="19"/>
              </w:rPr>
              <w:t>Feb 16</w:t>
            </w:r>
          </w:p>
        </w:tc>
        <w:tc>
          <w:tcPr>
            <w:tcW w:w="5140" w:type="dxa"/>
          </w:tcPr>
          <w:p w14:paraId="6ADC258E" w14:textId="77777777" w:rsidR="003F09A7" w:rsidRDefault="003F09A7" w:rsidP="002F746F">
            <w:pPr>
              <w:pStyle w:val="Default"/>
              <w:rPr>
                <w:strike/>
                <w:sz w:val="19"/>
                <w:szCs w:val="19"/>
              </w:rPr>
            </w:pPr>
            <w:r w:rsidRPr="00F14638">
              <w:rPr>
                <w:strike/>
                <w:sz w:val="19"/>
                <w:szCs w:val="19"/>
              </w:rPr>
              <w:t xml:space="preserve">Covariate Balancing and Doubly Robust Estimator </w:t>
            </w:r>
          </w:p>
          <w:p w14:paraId="48559271" w14:textId="34ADA546" w:rsidR="00F14638" w:rsidRPr="00F14638" w:rsidRDefault="00F14638" w:rsidP="002F746F">
            <w:pPr>
              <w:pStyle w:val="Default"/>
              <w:rPr>
                <w:sz w:val="19"/>
                <w:szCs w:val="19"/>
              </w:rPr>
            </w:pPr>
            <w:r>
              <w:rPr>
                <w:sz w:val="19"/>
                <w:szCs w:val="19"/>
              </w:rPr>
              <w:t>Omitted variable bias sensitivity check</w:t>
            </w:r>
          </w:p>
        </w:tc>
        <w:tc>
          <w:tcPr>
            <w:tcW w:w="7689" w:type="dxa"/>
          </w:tcPr>
          <w:p w14:paraId="14972E88" w14:textId="77777777" w:rsidR="003F09A7" w:rsidRPr="00F14638" w:rsidRDefault="003F09A7" w:rsidP="002F746F">
            <w:pPr>
              <w:pStyle w:val="Default"/>
              <w:rPr>
                <w:strike/>
                <w:sz w:val="19"/>
                <w:szCs w:val="19"/>
              </w:rPr>
            </w:pPr>
            <w:r w:rsidRPr="00F14638">
              <w:rPr>
                <w:strike/>
                <w:sz w:val="19"/>
                <w:szCs w:val="19"/>
              </w:rPr>
              <w:t>Funk, M. J., Westreich, D., Wiesen, C., Stürmer, T., Brookhart, M. A., &amp; Davidian, M. (2011). Doubly robust estimation of causal effects. </w:t>
            </w:r>
            <w:r w:rsidRPr="00F14638">
              <w:rPr>
                <w:i/>
                <w:iCs/>
                <w:strike/>
                <w:sz w:val="19"/>
                <w:szCs w:val="19"/>
              </w:rPr>
              <w:t>American journal of epidemiology</w:t>
            </w:r>
            <w:r w:rsidRPr="00F14638">
              <w:rPr>
                <w:strike/>
                <w:sz w:val="19"/>
                <w:szCs w:val="19"/>
              </w:rPr>
              <w:t>, </w:t>
            </w:r>
            <w:r w:rsidRPr="00F14638">
              <w:rPr>
                <w:i/>
                <w:iCs/>
                <w:strike/>
                <w:sz w:val="19"/>
                <w:szCs w:val="19"/>
              </w:rPr>
              <w:t>173</w:t>
            </w:r>
            <w:r w:rsidRPr="00F14638">
              <w:rPr>
                <w:strike/>
                <w:sz w:val="19"/>
                <w:szCs w:val="19"/>
              </w:rPr>
              <w:t>(7), 761-767.</w:t>
            </w:r>
          </w:p>
          <w:p w14:paraId="37B345C1" w14:textId="77777777" w:rsidR="003F09A7" w:rsidRDefault="003F09A7" w:rsidP="002F746F">
            <w:pPr>
              <w:pStyle w:val="Default"/>
              <w:rPr>
                <w:strike/>
                <w:sz w:val="19"/>
                <w:szCs w:val="19"/>
              </w:rPr>
            </w:pPr>
            <w:r w:rsidRPr="00F14638">
              <w:rPr>
                <w:strike/>
                <w:sz w:val="19"/>
                <w:szCs w:val="19"/>
              </w:rPr>
              <w:t>Słoczyński, T., Uysal, S. D., &amp; Wooldridge, J. M. (2023). Covariate Balancing and the Equivalence of Weighting and Doubly Robust Estimators of Average Treatment Effects. </w:t>
            </w:r>
            <w:r w:rsidRPr="00F14638">
              <w:rPr>
                <w:i/>
                <w:iCs/>
                <w:strike/>
                <w:sz w:val="19"/>
                <w:szCs w:val="19"/>
              </w:rPr>
              <w:t>arXiv preprint arXiv:2310.18563</w:t>
            </w:r>
            <w:r w:rsidRPr="00F14638">
              <w:rPr>
                <w:strike/>
                <w:sz w:val="19"/>
                <w:szCs w:val="19"/>
              </w:rPr>
              <w:t>.</w:t>
            </w:r>
          </w:p>
          <w:p w14:paraId="07A30926" w14:textId="693A6ABB" w:rsidR="00F14638" w:rsidRDefault="00F14638" w:rsidP="002F746F">
            <w:pPr>
              <w:pStyle w:val="Default"/>
              <w:rPr>
                <w:sz w:val="19"/>
                <w:szCs w:val="19"/>
              </w:rPr>
            </w:pPr>
            <w:r w:rsidRPr="00F14638">
              <w:rPr>
                <w:sz w:val="19"/>
                <w:szCs w:val="19"/>
              </w:rPr>
              <w:t>Linden, A., Mathur, M. B., &amp; VanderWeele, T. J. (2020). Conducting sensitivity analysis for unmeasured confounding in observational studies using E-values: the evalue package. </w:t>
            </w:r>
            <w:r w:rsidRPr="00F14638">
              <w:rPr>
                <w:i/>
                <w:iCs/>
                <w:sz w:val="19"/>
                <w:szCs w:val="19"/>
              </w:rPr>
              <w:t>The Stata Journal</w:t>
            </w:r>
            <w:r w:rsidRPr="00F14638">
              <w:rPr>
                <w:sz w:val="19"/>
                <w:szCs w:val="19"/>
              </w:rPr>
              <w:t>, </w:t>
            </w:r>
            <w:r w:rsidRPr="00F14638">
              <w:rPr>
                <w:i/>
                <w:iCs/>
                <w:sz w:val="19"/>
                <w:szCs w:val="19"/>
              </w:rPr>
              <w:t>20</w:t>
            </w:r>
            <w:r w:rsidRPr="00F14638">
              <w:rPr>
                <w:sz w:val="19"/>
                <w:szCs w:val="19"/>
              </w:rPr>
              <w:t>(1), 162-175.</w:t>
            </w:r>
          </w:p>
          <w:p w14:paraId="3BE8410A" w14:textId="77777777" w:rsidR="00F14638" w:rsidRDefault="00F14638" w:rsidP="002F746F">
            <w:pPr>
              <w:pStyle w:val="Default"/>
              <w:rPr>
                <w:sz w:val="19"/>
                <w:szCs w:val="19"/>
              </w:rPr>
            </w:pPr>
            <w:r w:rsidRPr="00F14638">
              <w:rPr>
                <w:sz w:val="19"/>
                <w:szCs w:val="19"/>
              </w:rPr>
              <w:t>Oster, E. (2019). Unobservable selection and coefficient stability: Theory and evidence. </w:t>
            </w:r>
            <w:r w:rsidRPr="00F14638">
              <w:rPr>
                <w:i/>
                <w:iCs/>
                <w:sz w:val="19"/>
                <w:szCs w:val="19"/>
              </w:rPr>
              <w:t>Journal of Business &amp; Economic Statistics</w:t>
            </w:r>
            <w:r w:rsidRPr="00F14638">
              <w:rPr>
                <w:sz w:val="19"/>
                <w:szCs w:val="19"/>
              </w:rPr>
              <w:t>, </w:t>
            </w:r>
            <w:r w:rsidRPr="00F14638">
              <w:rPr>
                <w:i/>
                <w:iCs/>
                <w:sz w:val="19"/>
                <w:szCs w:val="19"/>
              </w:rPr>
              <w:t>37</w:t>
            </w:r>
            <w:r w:rsidRPr="00F14638">
              <w:rPr>
                <w:sz w:val="19"/>
                <w:szCs w:val="19"/>
              </w:rPr>
              <w:t>(2), 187-204.</w:t>
            </w:r>
          </w:p>
          <w:p w14:paraId="466269BC" w14:textId="779FBD96" w:rsidR="00862A0E" w:rsidRPr="00F14638" w:rsidRDefault="00862A0E" w:rsidP="002F746F">
            <w:pPr>
              <w:pStyle w:val="Default"/>
              <w:rPr>
                <w:sz w:val="19"/>
                <w:szCs w:val="19"/>
              </w:rPr>
            </w:pPr>
            <w:r w:rsidRPr="00862A0E">
              <w:rPr>
                <w:sz w:val="19"/>
                <w:szCs w:val="19"/>
              </w:rPr>
              <w:t>VanderWeele, T. J., &amp; Ding, P. (2017). Sensitivity analysis in observational research: introducing the E-value. </w:t>
            </w:r>
            <w:r w:rsidRPr="00862A0E">
              <w:rPr>
                <w:i/>
                <w:iCs/>
                <w:sz w:val="19"/>
                <w:szCs w:val="19"/>
              </w:rPr>
              <w:t>Annals of internal medicine</w:t>
            </w:r>
            <w:r w:rsidRPr="00862A0E">
              <w:rPr>
                <w:sz w:val="19"/>
                <w:szCs w:val="19"/>
              </w:rPr>
              <w:t>, </w:t>
            </w:r>
            <w:r w:rsidRPr="00862A0E">
              <w:rPr>
                <w:i/>
                <w:iCs/>
                <w:sz w:val="19"/>
                <w:szCs w:val="19"/>
              </w:rPr>
              <w:t>167</w:t>
            </w:r>
            <w:r w:rsidRPr="00862A0E">
              <w:rPr>
                <w:sz w:val="19"/>
                <w:szCs w:val="19"/>
              </w:rPr>
              <w:t>(4), 268-274.</w:t>
            </w:r>
          </w:p>
        </w:tc>
      </w:tr>
      <w:tr w:rsidR="003F09A7" w:rsidRPr="003F09A7" w14:paraId="29FB8533" w14:textId="77777777" w:rsidTr="003F09A7">
        <w:trPr>
          <w:trHeight w:val="887"/>
        </w:trPr>
        <w:tc>
          <w:tcPr>
            <w:tcW w:w="763" w:type="dxa"/>
            <w:vAlign w:val="center"/>
          </w:tcPr>
          <w:p w14:paraId="12B42E9E" w14:textId="77777777" w:rsidR="003F09A7" w:rsidRPr="003F09A7" w:rsidRDefault="003F09A7" w:rsidP="002F746F">
            <w:pPr>
              <w:pStyle w:val="Default"/>
              <w:jc w:val="center"/>
              <w:rPr>
                <w:sz w:val="19"/>
                <w:szCs w:val="19"/>
              </w:rPr>
            </w:pPr>
            <w:r w:rsidRPr="003F09A7">
              <w:rPr>
                <w:sz w:val="19"/>
                <w:szCs w:val="19"/>
              </w:rPr>
              <w:t>3</w:t>
            </w:r>
          </w:p>
        </w:tc>
        <w:tc>
          <w:tcPr>
            <w:tcW w:w="1070" w:type="dxa"/>
          </w:tcPr>
          <w:p w14:paraId="256D196C" w14:textId="77777777" w:rsidR="003F09A7" w:rsidRPr="003F09A7" w:rsidRDefault="003F09A7" w:rsidP="002F746F">
            <w:pPr>
              <w:pStyle w:val="Default"/>
              <w:jc w:val="center"/>
              <w:rPr>
                <w:sz w:val="19"/>
                <w:szCs w:val="19"/>
              </w:rPr>
            </w:pPr>
            <w:r w:rsidRPr="003F09A7">
              <w:rPr>
                <w:sz w:val="19"/>
                <w:szCs w:val="19"/>
              </w:rPr>
              <w:t>Feb 23</w:t>
            </w:r>
          </w:p>
        </w:tc>
        <w:tc>
          <w:tcPr>
            <w:tcW w:w="5140" w:type="dxa"/>
          </w:tcPr>
          <w:p w14:paraId="65751CA6" w14:textId="7BA8712E" w:rsidR="003F09A7" w:rsidRPr="003F09A7" w:rsidRDefault="003F09A7" w:rsidP="002F746F">
            <w:pPr>
              <w:pStyle w:val="Default"/>
              <w:rPr>
                <w:sz w:val="19"/>
                <w:szCs w:val="19"/>
              </w:rPr>
            </w:pPr>
            <w:r w:rsidRPr="003F09A7">
              <w:rPr>
                <w:sz w:val="19"/>
                <w:szCs w:val="19"/>
              </w:rPr>
              <w:t xml:space="preserve">RDD </w:t>
            </w:r>
          </w:p>
        </w:tc>
        <w:tc>
          <w:tcPr>
            <w:tcW w:w="7689" w:type="dxa"/>
          </w:tcPr>
          <w:p w14:paraId="080AEEC5" w14:textId="77777777" w:rsidR="003F09A7" w:rsidRPr="003F09A7" w:rsidRDefault="003F09A7" w:rsidP="002F746F">
            <w:pPr>
              <w:pStyle w:val="Default"/>
              <w:rPr>
                <w:sz w:val="19"/>
                <w:szCs w:val="19"/>
              </w:rPr>
            </w:pPr>
            <w:r w:rsidRPr="003F09A7">
              <w:rPr>
                <w:sz w:val="19"/>
                <w:szCs w:val="19"/>
              </w:rPr>
              <w:t>Calonico, S., Cattaneo, M. D., Farrell, M. H., &amp; Titiunik, R. (2017). rdrobust: Software for regression-discontinuity designs. </w:t>
            </w:r>
            <w:r w:rsidRPr="003F09A7">
              <w:rPr>
                <w:i/>
                <w:iCs/>
                <w:sz w:val="19"/>
                <w:szCs w:val="19"/>
              </w:rPr>
              <w:t>The Stata Journal</w:t>
            </w:r>
            <w:r w:rsidRPr="003F09A7">
              <w:rPr>
                <w:sz w:val="19"/>
                <w:szCs w:val="19"/>
              </w:rPr>
              <w:t>, </w:t>
            </w:r>
            <w:r w:rsidRPr="003F09A7">
              <w:rPr>
                <w:i/>
                <w:iCs/>
                <w:sz w:val="19"/>
                <w:szCs w:val="19"/>
              </w:rPr>
              <w:t>17</w:t>
            </w:r>
            <w:r w:rsidRPr="003F09A7">
              <w:rPr>
                <w:sz w:val="19"/>
                <w:szCs w:val="19"/>
              </w:rPr>
              <w:t>(2), 372-404.</w:t>
            </w:r>
          </w:p>
          <w:p w14:paraId="15F054DF" w14:textId="2676B530" w:rsidR="003F09A7" w:rsidRPr="003F09A7" w:rsidRDefault="003F09A7" w:rsidP="002F746F">
            <w:pPr>
              <w:pStyle w:val="Default"/>
              <w:rPr>
                <w:sz w:val="19"/>
                <w:szCs w:val="19"/>
              </w:rPr>
            </w:pPr>
            <w:r w:rsidRPr="003F09A7">
              <w:rPr>
                <w:sz w:val="19"/>
                <w:szCs w:val="19"/>
              </w:rPr>
              <w:t>Cattaneo, M. D., Titiunik, R., &amp; Vazquez-Bare, G. (2020). Analysis of regression-discontinuity designs with multiple cutoffs or multiple scores. </w:t>
            </w:r>
            <w:r w:rsidRPr="003F09A7">
              <w:rPr>
                <w:i/>
                <w:iCs/>
                <w:sz w:val="19"/>
                <w:szCs w:val="19"/>
              </w:rPr>
              <w:t>The Stata Journal</w:t>
            </w:r>
            <w:r w:rsidRPr="003F09A7">
              <w:rPr>
                <w:sz w:val="19"/>
                <w:szCs w:val="19"/>
              </w:rPr>
              <w:t>, </w:t>
            </w:r>
            <w:r w:rsidRPr="003F09A7">
              <w:rPr>
                <w:i/>
                <w:iCs/>
                <w:sz w:val="19"/>
                <w:szCs w:val="19"/>
              </w:rPr>
              <w:t>20</w:t>
            </w:r>
            <w:r w:rsidRPr="003F09A7">
              <w:rPr>
                <w:sz w:val="19"/>
                <w:szCs w:val="19"/>
              </w:rPr>
              <w:t>(4), 866-891.</w:t>
            </w:r>
          </w:p>
        </w:tc>
      </w:tr>
      <w:tr w:rsidR="003F09A7" w:rsidRPr="003F09A7" w14:paraId="2CB10E84" w14:textId="77777777" w:rsidTr="00BF5BCD">
        <w:trPr>
          <w:trHeight w:val="125"/>
        </w:trPr>
        <w:tc>
          <w:tcPr>
            <w:tcW w:w="763" w:type="dxa"/>
            <w:vAlign w:val="center"/>
          </w:tcPr>
          <w:p w14:paraId="3131C960" w14:textId="77777777" w:rsidR="003F09A7" w:rsidRPr="003F09A7" w:rsidRDefault="003F09A7" w:rsidP="002F746F">
            <w:pPr>
              <w:pStyle w:val="Default"/>
              <w:jc w:val="center"/>
              <w:rPr>
                <w:sz w:val="19"/>
                <w:szCs w:val="19"/>
              </w:rPr>
            </w:pPr>
            <w:r w:rsidRPr="003F09A7">
              <w:rPr>
                <w:sz w:val="19"/>
                <w:szCs w:val="19"/>
              </w:rPr>
              <w:t>4</w:t>
            </w:r>
          </w:p>
        </w:tc>
        <w:tc>
          <w:tcPr>
            <w:tcW w:w="1070" w:type="dxa"/>
          </w:tcPr>
          <w:p w14:paraId="5E07252A" w14:textId="77777777" w:rsidR="003F09A7" w:rsidRPr="003F09A7" w:rsidRDefault="003F09A7" w:rsidP="002F746F">
            <w:pPr>
              <w:pStyle w:val="Default"/>
              <w:jc w:val="center"/>
              <w:rPr>
                <w:sz w:val="19"/>
                <w:szCs w:val="19"/>
              </w:rPr>
            </w:pPr>
            <w:r w:rsidRPr="003F09A7">
              <w:rPr>
                <w:sz w:val="19"/>
                <w:szCs w:val="19"/>
              </w:rPr>
              <w:t>Mar 1</w:t>
            </w:r>
          </w:p>
        </w:tc>
        <w:tc>
          <w:tcPr>
            <w:tcW w:w="5140" w:type="dxa"/>
          </w:tcPr>
          <w:p w14:paraId="5329AC6D" w14:textId="4AE0083C" w:rsidR="003F09A7" w:rsidRPr="003F09A7" w:rsidRDefault="00DC3C1A" w:rsidP="002F746F">
            <w:pPr>
              <w:pStyle w:val="Default"/>
              <w:rPr>
                <w:sz w:val="19"/>
                <w:szCs w:val="19"/>
              </w:rPr>
            </w:pPr>
            <w:r>
              <w:rPr>
                <w:sz w:val="19"/>
                <w:szCs w:val="19"/>
              </w:rPr>
              <w:t>PS 1</w:t>
            </w:r>
          </w:p>
        </w:tc>
        <w:tc>
          <w:tcPr>
            <w:tcW w:w="7689" w:type="dxa"/>
          </w:tcPr>
          <w:p w14:paraId="00C8A838" w14:textId="343D66D8" w:rsidR="003F09A7" w:rsidRPr="003F09A7" w:rsidRDefault="003F09A7" w:rsidP="002F746F">
            <w:pPr>
              <w:pStyle w:val="Default"/>
              <w:rPr>
                <w:sz w:val="19"/>
                <w:szCs w:val="19"/>
              </w:rPr>
            </w:pPr>
          </w:p>
        </w:tc>
      </w:tr>
      <w:tr w:rsidR="00DC3C1A" w:rsidRPr="003F09A7" w14:paraId="388A2AC2" w14:textId="77777777" w:rsidTr="003F09A7">
        <w:trPr>
          <w:trHeight w:val="887"/>
        </w:trPr>
        <w:tc>
          <w:tcPr>
            <w:tcW w:w="763" w:type="dxa"/>
            <w:vAlign w:val="center"/>
          </w:tcPr>
          <w:p w14:paraId="1F86A793" w14:textId="77777777" w:rsidR="00DC3C1A" w:rsidRPr="003F09A7" w:rsidRDefault="00DC3C1A" w:rsidP="00DC3C1A">
            <w:pPr>
              <w:pStyle w:val="Default"/>
              <w:jc w:val="center"/>
              <w:rPr>
                <w:sz w:val="19"/>
                <w:szCs w:val="19"/>
              </w:rPr>
            </w:pPr>
            <w:r w:rsidRPr="003F09A7">
              <w:rPr>
                <w:sz w:val="19"/>
                <w:szCs w:val="19"/>
              </w:rPr>
              <w:t>5</w:t>
            </w:r>
          </w:p>
        </w:tc>
        <w:tc>
          <w:tcPr>
            <w:tcW w:w="1070" w:type="dxa"/>
          </w:tcPr>
          <w:p w14:paraId="0BD7646C" w14:textId="77777777" w:rsidR="00DC3C1A" w:rsidRPr="003F09A7" w:rsidRDefault="00DC3C1A" w:rsidP="00DC3C1A">
            <w:pPr>
              <w:pStyle w:val="Default"/>
              <w:jc w:val="center"/>
              <w:rPr>
                <w:sz w:val="19"/>
                <w:szCs w:val="19"/>
              </w:rPr>
            </w:pPr>
            <w:r w:rsidRPr="003F09A7">
              <w:rPr>
                <w:sz w:val="19"/>
                <w:szCs w:val="19"/>
              </w:rPr>
              <w:t>Mar 8</w:t>
            </w:r>
          </w:p>
        </w:tc>
        <w:tc>
          <w:tcPr>
            <w:tcW w:w="5140" w:type="dxa"/>
          </w:tcPr>
          <w:p w14:paraId="2CFC5AB0" w14:textId="77777777" w:rsidR="00DC3C1A" w:rsidRDefault="00DC3C1A" w:rsidP="00DC3C1A">
            <w:pPr>
              <w:pStyle w:val="Default"/>
              <w:rPr>
                <w:strike/>
                <w:sz w:val="19"/>
                <w:szCs w:val="19"/>
              </w:rPr>
            </w:pPr>
            <w:r w:rsidRPr="0094483E">
              <w:rPr>
                <w:strike/>
                <w:sz w:val="19"/>
                <w:szCs w:val="19"/>
              </w:rPr>
              <w:t xml:space="preserve">Weak instrument Test: Montiel Olea and Pfluger test </w:t>
            </w:r>
            <w:r w:rsidR="0094483E">
              <w:rPr>
                <w:strike/>
                <w:sz w:val="19"/>
                <w:szCs w:val="19"/>
              </w:rPr>
              <w:t xml:space="preserve"> </w:t>
            </w:r>
          </w:p>
          <w:p w14:paraId="61342CEE" w14:textId="43D73025" w:rsidR="0094483E" w:rsidRPr="0094483E" w:rsidRDefault="0094483E" w:rsidP="00DC3C1A">
            <w:pPr>
              <w:pStyle w:val="Default"/>
              <w:rPr>
                <w:sz w:val="19"/>
                <w:szCs w:val="19"/>
              </w:rPr>
            </w:pPr>
            <w:r>
              <w:rPr>
                <w:sz w:val="19"/>
                <w:szCs w:val="19"/>
              </w:rPr>
              <w:t>Cancelled</w:t>
            </w:r>
          </w:p>
        </w:tc>
        <w:tc>
          <w:tcPr>
            <w:tcW w:w="7689" w:type="dxa"/>
          </w:tcPr>
          <w:p w14:paraId="3533BD65" w14:textId="77777777" w:rsidR="00DC3C1A" w:rsidRPr="0094483E" w:rsidRDefault="00DC3C1A" w:rsidP="00DC3C1A">
            <w:pPr>
              <w:pStyle w:val="Default"/>
              <w:rPr>
                <w:strike/>
                <w:sz w:val="19"/>
                <w:szCs w:val="19"/>
              </w:rPr>
            </w:pPr>
            <w:r w:rsidRPr="0094483E">
              <w:rPr>
                <w:strike/>
                <w:sz w:val="19"/>
                <w:szCs w:val="19"/>
              </w:rPr>
              <w:t>Olea, J. L. M., &amp; Pflueger, C. (2013). A robust test for weak instruments. </w:t>
            </w:r>
            <w:r w:rsidRPr="0094483E">
              <w:rPr>
                <w:i/>
                <w:iCs/>
                <w:strike/>
                <w:sz w:val="19"/>
                <w:szCs w:val="19"/>
              </w:rPr>
              <w:t>Journal of Business &amp; Economic Statistics</w:t>
            </w:r>
            <w:r w:rsidRPr="0094483E">
              <w:rPr>
                <w:strike/>
                <w:sz w:val="19"/>
                <w:szCs w:val="19"/>
              </w:rPr>
              <w:t>, </w:t>
            </w:r>
            <w:r w:rsidRPr="0094483E">
              <w:rPr>
                <w:i/>
                <w:iCs/>
                <w:strike/>
                <w:sz w:val="19"/>
                <w:szCs w:val="19"/>
              </w:rPr>
              <w:t>31</w:t>
            </w:r>
            <w:r w:rsidRPr="0094483E">
              <w:rPr>
                <w:strike/>
                <w:sz w:val="19"/>
                <w:szCs w:val="19"/>
              </w:rPr>
              <w:t>(3), 358-369.</w:t>
            </w:r>
          </w:p>
          <w:p w14:paraId="29AC96AB" w14:textId="1CF5AB9A" w:rsidR="00DC3C1A" w:rsidRPr="0094483E" w:rsidRDefault="00DC3C1A" w:rsidP="00DC3C1A">
            <w:pPr>
              <w:pStyle w:val="Default"/>
              <w:rPr>
                <w:strike/>
                <w:sz w:val="19"/>
                <w:szCs w:val="19"/>
              </w:rPr>
            </w:pPr>
            <w:r w:rsidRPr="0094483E">
              <w:rPr>
                <w:strike/>
                <w:sz w:val="19"/>
                <w:szCs w:val="19"/>
              </w:rPr>
              <w:t>Pflueger, C. E., &amp; Wang, S. (2015). A robust test for weak instruments in Stata. </w:t>
            </w:r>
            <w:r w:rsidRPr="0094483E">
              <w:rPr>
                <w:i/>
                <w:iCs/>
                <w:strike/>
                <w:sz w:val="19"/>
                <w:szCs w:val="19"/>
              </w:rPr>
              <w:t>The Stata Journal</w:t>
            </w:r>
            <w:r w:rsidRPr="0094483E">
              <w:rPr>
                <w:strike/>
                <w:sz w:val="19"/>
                <w:szCs w:val="19"/>
              </w:rPr>
              <w:t>, </w:t>
            </w:r>
            <w:r w:rsidRPr="0094483E">
              <w:rPr>
                <w:i/>
                <w:iCs/>
                <w:strike/>
                <w:sz w:val="19"/>
                <w:szCs w:val="19"/>
              </w:rPr>
              <w:t>15</w:t>
            </w:r>
            <w:r w:rsidRPr="0094483E">
              <w:rPr>
                <w:strike/>
                <w:sz w:val="19"/>
                <w:szCs w:val="19"/>
              </w:rPr>
              <w:t>(1), 216-225.</w:t>
            </w:r>
          </w:p>
        </w:tc>
      </w:tr>
      <w:tr w:rsidR="00DC3C1A" w:rsidRPr="003F09A7" w14:paraId="5FC9CBB0" w14:textId="77777777" w:rsidTr="00DC3C1A">
        <w:trPr>
          <w:trHeight w:val="125"/>
        </w:trPr>
        <w:tc>
          <w:tcPr>
            <w:tcW w:w="763" w:type="dxa"/>
            <w:vAlign w:val="center"/>
          </w:tcPr>
          <w:p w14:paraId="279734B0" w14:textId="77777777" w:rsidR="00DC3C1A" w:rsidRPr="003F09A7" w:rsidRDefault="00DC3C1A" w:rsidP="00DC3C1A">
            <w:pPr>
              <w:pStyle w:val="Default"/>
              <w:jc w:val="center"/>
              <w:rPr>
                <w:sz w:val="19"/>
                <w:szCs w:val="19"/>
              </w:rPr>
            </w:pPr>
            <w:r w:rsidRPr="003F09A7">
              <w:rPr>
                <w:sz w:val="19"/>
                <w:szCs w:val="19"/>
              </w:rPr>
              <w:t>6</w:t>
            </w:r>
          </w:p>
        </w:tc>
        <w:tc>
          <w:tcPr>
            <w:tcW w:w="1070" w:type="dxa"/>
          </w:tcPr>
          <w:p w14:paraId="6ECD001A" w14:textId="77777777" w:rsidR="00DC3C1A" w:rsidRPr="003F09A7" w:rsidRDefault="00DC3C1A" w:rsidP="00DC3C1A">
            <w:pPr>
              <w:pStyle w:val="Default"/>
              <w:jc w:val="center"/>
              <w:rPr>
                <w:sz w:val="19"/>
                <w:szCs w:val="19"/>
              </w:rPr>
            </w:pPr>
            <w:r w:rsidRPr="003F09A7">
              <w:rPr>
                <w:sz w:val="19"/>
                <w:szCs w:val="19"/>
              </w:rPr>
              <w:t>Mar 15</w:t>
            </w:r>
          </w:p>
        </w:tc>
        <w:tc>
          <w:tcPr>
            <w:tcW w:w="5140" w:type="dxa"/>
          </w:tcPr>
          <w:p w14:paraId="4989E02D" w14:textId="52D54615" w:rsidR="00DC3C1A" w:rsidRPr="003F09A7" w:rsidRDefault="00DC3C1A" w:rsidP="00DC3C1A">
            <w:pPr>
              <w:pStyle w:val="Default"/>
              <w:rPr>
                <w:sz w:val="19"/>
                <w:szCs w:val="19"/>
              </w:rPr>
            </w:pPr>
            <w:r>
              <w:rPr>
                <w:sz w:val="19"/>
                <w:szCs w:val="19"/>
              </w:rPr>
              <w:t>Out of town for conference</w:t>
            </w:r>
          </w:p>
        </w:tc>
        <w:tc>
          <w:tcPr>
            <w:tcW w:w="7689" w:type="dxa"/>
          </w:tcPr>
          <w:p w14:paraId="0470F7F0" w14:textId="3A814CD8" w:rsidR="00DC3C1A" w:rsidRPr="003F09A7" w:rsidRDefault="00DC3C1A" w:rsidP="00DC3C1A">
            <w:pPr>
              <w:pStyle w:val="Default"/>
              <w:rPr>
                <w:sz w:val="19"/>
                <w:szCs w:val="19"/>
              </w:rPr>
            </w:pPr>
          </w:p>
        </w:tc>
      </w:tr>
      <w:tr w:rsidR="00DC3C1A" w:rsidRPr="003F09A7" w14:paraId="7818AF50" w14:textId="77777777" w:rsidTr="003F09A7">
        <w:trPr>
          <w:trHeight w:val="221"/>
        </w:trPr>
        <w:tc>
          <w:tcPr>
            <w:tcW w:w="763" w:type="dxa"/>
            <w:vAlign w:val="center"/>
          </w:tcPr>
          <w:p w14:paraId="5B981240" w14:textId="77777777" w:rsidR="00DC3C1A" w:rsidRPr="003F09A7" w:rsidRDefault="00DC3C1A" w:rsidP="00DC3C1A">
            <w:pPr>
              <w:pStyle w:val="Default"/>
              <w:jc w:val="center"/>
              <w:rPr>
                <w:sz w:val="19"/>
                <w:szCs w:val="19"/>
              </w:rPr>
            </w:pPr>
            <w:r w:rsidRPr="003F09A7">
              <w:rPr>
                <w:sz w:val="19"/>
                <w:szCs w:val="19"/>
              </w:rPr>
              <w:t>7</w:t>
            </w:r>
          </w:p>
        </w:tc>
        <w:tc>
          <w:tcPr>
            <w:tcW w:w="1070" w:type="dxa"/>
          </w:tcPr>
          <w:p w14:paraId="74010FFE" w14:textId="77777777" w:rsidR="00DC3C1A" w:rsidRPr="003F09A7" w:rsidRDefault="00DC3C1A" w:rsidP="00DC3C1A">
            <w:pPr>
              <w:pStyle w:val="Default"/>
              <w:jc w:val="center"/>
              <w:rPr>
                <w:sz w:val="19"/>
                <w:szCs w:val="19"/>
              </w:rPr>
            </w:pPr>
            <w:r w:rsidRPr="003F09A7">
              <w:rPr>
                <w:sz w:val="19"/>
                <w:szCs w:val="19"/>
              </w:rPr>
              <w:t>Mar 22</w:t>
            </w:r>
          </w:p>
        </w:tc>
        <w:tc>
          <w:tcPr>
            <w:tcW w:w="5140" w:type="dxa"/>
          </w:tcPr>
          <w:p w14:paraId="67CF6EF1" w14:textId="3AC91303" w:rsidR="00DC3C1A" w:rsidRPr="003F09A7" w:rsidRDefault="00BA786C" w:rsidP="00DC3C1A">
            <w:pPr>
              <w:pStyle w:val="Default"/>
              <w:rPr>
                <w:sz w:val="19"/>
                <w:szCs w:val="19"/>
              </w:rPr>
            </w:pPr>
            <w:r>
              <w:rPr>
                <w:sz w:val="19"/>
                <w:szCs w:val="19"/>
              </w:rPr>
              <w:t>PS 2</w:t>
            </w:r>
          </w:p>
        </w:tc>
        <w:tc>
          <w:tcPr>
            <w:tcW w:w="7689" w:type="dxa"/>
          </w:tcPr>
          <w:p w14:paraId="1BE01481" w14:textId="27E1433B" w:rsidR="00DC3C1A" w:rsidRPr="003F09A7" w:rsidRDefault="00DC3C1A" w:rsidP="00DC3C1A">
            <w:pPr>
              <w:pStyle w:val="Default"/>
              <w:rPr>
                <w:sz w:val="19"/>
                <w:szCs w:val="19"/>
              </w:rPr>
            </w:pPr>
          </w:p>
        </w:tc>
      </w:tr>
      <w:tr w:rsidR="00DC3C1A" w:rsidRPr="003F09A7" w14:paraId="0665FCEE" w14:textId="77777777" w:rsidTr="003F09A7">
        <w:trPr>
          <w:trHeight w:val="221"/>
        </w:trPr>
        <w:tc>
          <w:tcPr>
            <w:tcW w:w="763" w:type="dxa"/>
            <w:vAlign w:val="center"/>
          </w:tcPr>
          <w:p w14:paraId="660A8878" w14:textId="77777777" w:rsidR="00DC3C1A" w:rsidRPr="003F09A7" w:rsidRDefault="00DC3C1A" w:rsidP="00DC3C1A">
            <w:pPr>
              <w:pStyle w:val="Default"/>
              <w:jc w:val="center"/>
              <w:rPr>
                <w:sz w:val="19"/>
                <w:szCs w:val="19"/>
              </w:rPr>
            </w:pPr>
            <w:r w:rsidRPr="003F09A7">
              <w:rPr>
                <w:sz w:val="19"/>
                <w:szCs w:val="19"/>
              </w:rPr>
              <w:t>8</w:t>
            </w:r>
          </w:p>
        </w:tc>
        <w:tc>
          <w:tcPr>
            <w:tcW w:w="1070" w:type="dxa"/>
          </w:tcPr>
          <w:p w14:paraId="3D225FE6" w14:textId="77777777" w:rsidR="00DC3C1A" w:rsidRPr="003F09A7" w:rsidRDefault="00DC3C1A" w:rsidP="00DC3C1A">
            <w:pPr>
              <w:pStyle w:val="Default"/>
              <w:jc w:val="center"/>
              <w:rPr>
                <w:sz w:val="19"/>
                <w:szCs w:val="19"/>
              </w:rPr>
            </w:pPr>
            <w:r w:rsidRPr="003F09A7">
              <w:rPr>
                <w:sz w:val="19"/>
                <w:szCs w:val="19"/>
              </w:rPr>
              <w:t>Mar 29</w:t>
            </w:r>
          </w:p>
        </w:tc>
        <w:tc>
          <w:tcPr>
            <w:tcW w:w="5140" w:type="dxa"/>
          </w:tcPr>
          <w:p w14:paraId="6AC5E181" w14:textId="77777777" w:rsidR="00DC3C1A" w:rsidRPr="003F09A7" w:rsidRDefault="00DC3C1A" w:rsidP="00DC3C1A">
            <w:pPr>
              <w:pStyle w:val="Default"/>
              <w:rPr>
                <w:sz w:val="19"/>
                <w:szCs w:val="19"/>
              </w:rPr>
            </w:pPr>
            <w:r w:rsidRPr="003F09A7">
              <w:rPr>
                <w:sz w:val="19"/>
                <w:szCs w:val="19"/>
              </w:rPr>
              <w:t>Spring Break</w:t>
            </w:r>
          </w:p>
        </w:tc>
        <w:tc>
          <w:tcPr>
            <w:tcW w:w="7689" w:type="dxa"/>
          </w:tcPr>
          <w:p w14:paraId="446901BB" w14:textId="77777777" w:rsidR="00DC3C1A" w:rsidRPr="003F09A7" w:rsidRDefault="00DC3C1A" w:rsidP="00DC3C1A">
            <w:pPr>
              <w:pStyle w:val="Default"/>
              <w:rPr>
                <w:sz w:val="19"/>
                <w:szCs w:val="19"/>
              </w:rPr>
            </w:pPr>
          </w:p>
        </w:tc>
      </w:tr>
      <w:tr w:rsidR="00BA786C" w:rsidRPr="003F09A7" w14:paraId="7FF24252" w14:textId="77777777" w:rsidTr="003F09A7">
        <w:trPr>
          <w:trHeight w:val="221"/>
        </w:trPr>
        <w:tc>
          <w:tcPr>
            <w:tcW w:w="763" w:type="dxa"/>
            <w:vAlign w:val="center"/>
          </w:tcPr>
          <w:p w14:paraId="11A4FB9F" w14:textId="77777777" w:rsidR="00BA786C" w:rsidRPr="003F09A7" w:rsidRDefault="00BA786C" w:rsidP="00BA786C">
            <w:pPr>
              <w:pStyle w:val="Default"/>
              <w:jc w:val="center"/>
              <w:rPr>
                <w:sz w:val="19"/>
                <w:szCs w:val="19"/>
              </w:rPr>
            </w:pPr>
            <w:r w:rsidRPr="003F09A7">
              <w:rPr>
                <w:sz w:val="19"/>
                <w:szCs w:val="19"/>
              </w:rPr>
              <w:t>9</w:t>
            </w:r>
          </w:p>
        </w:tc>
        <w:tc>
          <w:tcPr>
            <w:tcW w:w="1070" w:type="dxa"/>
            <w:vAlign w:val="center"/>
          </w:tcPr>
          <w:p w14:paraId="0155CF58" w14:textId="77777777" w:rsidR="00BA786C" w:rsidRPr="003F09A7" w:rsidRDefault="00BA786C" w:rsidP="00BA786C">
            <w:pPr>
              <w:pStyle w:val="Default"/>
              <w:jc w:val="center"/>
              <w:rPr>
                <w:sz w:val="19"/>
                <w:szCs w:val="19"/>
              </w:rPr>
            </w:pPr>
            <w:r w:rsidRPr="003F09A7">
              <w:rPr>
                <w:rFonts w:eastAsia="Times New Roman" w:cs="Calibri"/>
                <w:sz w:val="19"/>
                <w:szCs w:val="19"/>
              </w:rPr>
              <w:t>April 5</w:t>
            </w:r>
          </w:p>
        </w:tc>
        <w:tc>
          <w:tcPr>
            <w:tcW w:w="5140" w:type="dxa"/>
          </w:tcPr>
          <w:p w14:paraId="54000882" w14:textId="20016348" w:rsidR="00BA786C" w:rsidRPr="003F09A7" w:rsidRDefault="00BA786C" w:rsidP="00BA786C">
            <w:pPr>
              <w:pStyle w:val="Default"/>
              <w:rPr>
                <w:sz w:val="19"/>
                <w:szCs w:val="19"/>
              </w:rPr>
            </w:pPr>
            <w:r w:rsidRPr="003F09A7">
              <w:rPr>
                <w:sz w:val="19"/>
                <w:szCs w:val="19"/>
              </w:rPr>
              <w:t xml:space="preserve">Shift-Share IV </w:t>
            </w:r>
          </w:p>
        </w:tc>
        <w:tc>
          <w:tcPr>
            <w:tcW w:w="7689" w:type="dxa"/>
          </w:tcPr>
          <w:p w14:paraId="072883F3" w14:textId="77777777" w:rsidR="00BA786C" w:rsidRPr="003F09A7" w:rsidRDefault="00BA786C" w:rsidP="00BA786C">
            <w:pPr>
              <w:pStyle w:val="Default"/>
              <w:rPr>
                <w:sz w:val="19"/>
                <w:szCs w:val="19"/>
              </w:rPr>
            </w:pPr>
            <w:r w:rsidRPr="003F09A7">
              <w:rPr>
                <w:sz w:val="19"/>
                <w:szCs w:val="19"/>
              </w:rPr>
              <w:t xml:space="preserve">Autor, D. H., Dorn, D., &amp; Hanson, G. H. (2013). The geography of trade and technology shocks in the United States. </w:t>
            </w:r>
            <w:r w:rsidRPr="003F09A7">
              <w:rPr>
                <w:i/>
                <w:iCs/>
                <w:sz w:val="19"/>
                <w:szCs w:val="19"/>
              </w:rPr>
              <w:t>American Economic Review, 103(3)</w:t>
            </w:r>
            <w:r w:rsidRPr="003F09A7">
              <w:rPr>
                <w:sz w:val="19"/>
                <w:szCs w:val="19"/>
              </w:rPr>
              <w:t>, 220-225.</w:t>
            </w:r>
          </w:p>
          <w:p w14:paraId="20533D25" w14:textId="385AB25B" w:rsidR="00BA786C" w:rsidRPr="003F09A7" w:rsidRDefault="00BA786C" w:rsidP="00BA786C">
            <w:pPr>
              <w:pStyle w:val="Default"/>
              <w:rPr>
                <w:sz w:val="19"/>
                <w:szCs w:val="19"/>
              </w:rPr>
            </w:pPr>
            <w:r w:rsidRPr="003F09A7">
              <w:rPr>
                <w:sz w:val="19"/>
                <w:szCs w:val="19"/>
              </w:rPr>
              <w:t>Borusyak, K., Hull, P., &amp; Jaravel, X. (2022). Quasi-experimental shift-share research designs. </w:t>
            </w:r>
            <w:r w:rsidRPr="003F09A7">
              <w:rPr>
                <w:i/>
                <w:iCs/>
                <w:sz w:val="19"/>
                <w:szCs w:val="19"/>
              </w:rPr>
              <w:t>The Review of Economic Studies</w:t>
            </w:r>
            <w:r w:rsidRPr="003F09A7">
              <w:rPr>
                <w:sz w:val="19"/>
                <w:szCs w:val="19"/>
              </w:rPr>
              <w:t>, </w:t>
            </w:r>
            <w:r w:rsidRPr="003F09A7">
              <w:rPr>
                <w:i/>
                <w:iCs/>
                <w:sz w:val="19"/>
                <w:szCs w:val="19"/>
              </w:rPr>
              <w:t>89</w:t>
            </w:r>
            <w:r w:rsidRPr="003F09A7">
              <w:rPr>
                <w:sz w:val="19"/>
                <w:szCs w:val="19"/>
              </w:rPr>
              <w:t>(1), 181-213.</w:t>
            </w:r>
          </w:p>
        </w:tc>
      </w:tr>
      <w:tr w:rsidR="00BA786C" w:rsidRPr="003F09A7" w14:paraId="49D351C2" w14:textId="77777777" w:rsidTr="003F09A7">
        <w:trPr>
          <w:trHeight w:val="646"/>
        </w:trPr>
        <w:tc>
          <w:tcPr>
            <w:tcW w:w="763" w:type="dxa"/>
            <w:vAlign w:val="center"/>
          </w:tcPr>
          <w:p w14:paraId="0BE74E69" w14:textId="77777777" w:rsidR="00BA786C" w:rsidRPr="003F09A7" w:rsidRDefault="00BA786C" w:rsidP="00BA786C">
            <w:pPr>
              <w:pStyle w:val="Default"/>
              <w:jc w:val="center"/>
              <w:rPr>
                <w:sz w:val="19"/>
                <w:szCs w:val="19"/>
              </w:rPr>
            </w:pPr>
            <w:r w:rsidRPr="003F09A7">
              <w:rPr>
                <w:sz w:val="19"/>
                <w:szCs w:val="19"/>
              </w:rPr>
              <w:t>10</w:t>
            </w:r>
          </w:p>
        </w:tc>
        <w:tc>
          <w:tcPr>
            <w:tcW w:w="1070" w:type="dxa"/>
            <w:vAlign w:val="center"/>
          </w:tcPr>
          <w:p w14:paraId="43B7C71E" w14:textId="77777777" w:rsidR="00BA786C" w:rsidRPr="003F09A7" w:rsidRDefault="00BA786C" w:rsidP="00BA786C">
            <w:pPr>
              <w:pStyle w:val="Default"/>
              <w:jc w:val="center"/>
              <w:rPr>
                <w:sz w:val="19"/>
                <w:szCs w:val="19"/>
              </w:rPr>
            </w:pPr>
            <w:r w:rsidRPr="003F09A7">
              <w:rPr>
                <w:rFonts w:eastAsia="Times New Roman" w:cs="Calibri"/>
                <w:sz w:val="19"/>
                <w:szCs w:val="19"/>
              </w:rPr>
              <w:t>April 12</w:t>
            </w:r>
          </w:p>
        </w:tc>
        <w:tc>
          <w:tcPr>
            <w:tcW w:w="5140" w:type="dxa"/>
          </w:tcPr>
          <w:p w14:paraId="7C5EB3D8" w14:textId="7B942AFE" w:rsidR="00BA786C" w:rsidRPr="003F09A7" w:rsidRDefault="00BA786C" w:rsidP="00BA786C">
            <w:pPr>
              <w:pStyle w:val="Default"/>
              <w:rPr>
                <w:sz w:val="19"/>
                <w:szCs w:val="19"/>
              </w:rPr>
            </w:pPr>
            <w:r w:rsidRPr="003F09A7">
              <w:rPr>
                <w:sz w:val="19"/>
                <w:szCs w:val="19"/>
              </w:rPr>
              <w:t xml:space="preserve">Matrix Completion for Panel Data </w:t>
            </w:r>
          </w:p>
        </w:tc>
        <w:tc>
          <w:tcPr>
            <w:tcW w:w="7689" w:type="dxa"/>
          </w:tcPr>
          <w:p w14:paraId="58265F87" w14:textId="7E42547F" w:rsidR="00BA786C" w:rsidRPr="003F09A7" w:rsidRDefault="00BA786C" w:rsidP="00BA786C">
            <w:pPr>
              <w:pStyle w:val="Default"/>
              <w:rPr>
                <w:sz w:val="19"/>
                <w:szCs w:val="19"/>
              </w:rPr>
            </w:pPr>
            <w:r w:rsidRPr="003F09A7">
              <w:rPr>
                <w:sz w:val="19"/>
                <w:szCs w:val="19"/>
              </w:rPr>
              <w:t>Athey, S., Bayati, M., Doudchenko, N., Imbens, G., &amp; Khosravi, K. (2021). Matrix completion methods for causal panel data models. </w:t>
            </w:r>
            <w:r w:rsidRPr="003F09A7">
              <w:rPr>
                <w:i/>
                <w:iCs/>
                <w:sz w:val="19"/>
                <w:szCs w:val="19"/>
              </w:rPr>
              <w:t>Journal of the American Statistical Association</w:t>
            </w:r>
            <w:r w:rsidRPr="003F09A7">
              <w:rPr>
                <w:sz w:val="19"/>
                <w:szCs w:val="19"/>
              </w:rPr>
              <w:t>, </w:t>
            </w:r>
            <w:r w:rsidRPr="003F09A7">
              <w:rPr>
                <w:i/>
                <w:iCs/>
                <w:sz w:val="19"/>
                <w:szCs w:val="19"/>
              </w:rPr>
              <w:t>116</w:t>
            </w:r>
            <w:r w:rsidRPr="003F09A7">
              <w:rPr>
                <w:sz w:val="19"/>
                <w:szCs w:val="19"/>
              </w:rPr>
              <w:t>(536), 1716-1730.</w:t>
            </w:r>
          </w:p>
        </w:tc>
      </w:tr>
      <w:tr w:rsidR="00BA786C" w:rsidRPr="003F09A7" w14:paraId="6E13E718" w14:textId="77777777" w:rsidTr="00BF5BCD">
        <w:trPr>
          <w:trHeight w:val="179"/>
        </w:trPr>
        <w:tc>
          <w:tcPr>
            <w:tcW w:w="763" w:type="dxa"/>
            <w:vAlign w:val="center"/>
          </w:tcPr>
          <w:p w14:paraId="4AF45139" w14:textId="77777777" w:rsidR="00BA786C" w:rsidRPr="003F09A7" w:rsidRDefault="00BA786C" w:rsidP="00BA786C">
            <w:pPr>
              <w:pStyle w:val="Default"/>
              <w:jc w:val="center"/>
              <w:rPr>
                <w:sz w:val="19"/>
                <w:szCs w:val="19"/>
              </w:rPr>
            </w:pPr>
            <w:r w:rsidRPr="003F09A7">
              <w:rPr>
                <w:sz w:val="19"/>
                <w:szCs w:val="19"/>
              </w:rPr>
              <w:t>11</w:t>
            </w:r>
          </w:p>
        </w:tc>
        <w:tc>
          <w:tcPr>
            <w:tcW w:w="1070" w:type="dxa"/>
            <w:vAlign w:val="center"/>
          </w:tcPr>
          <w:p w14:paraId="19DCD811" w14:textId="77777777" w:rsidR="00BA786C" w:rsidRPr="003F09A7" w:rsidRDefault="00BA786C" w:rsidP="00BA786C">
            <w:pPr>
              <w:pStyle w:val="Default"/>
              <w:jc w:val="center"/>
              <w:rPr>
                <w:sz w:val="19"/>
                <w:szCs w:val="19"/>
              </w:rPr>
            </w:pPr>
            <w:r w:rsidRPr="003F09A7">
              <w:rPr>
                <w:rFonts w:eastAsia="Times New Roman" w:cs="Calibri"/>
                <w:sz w:val="19"/>
                <w:szCs w:val="19"/>
              </w:rPr>
              <w:t>April 19</w:t>
            </w:r>
          </w:p>
        </w:tc>
        <w:tc>
          <w:tcPr>
            <w:tcW w:w="5140" w:type="dxa"/>
          </w:tcPr>
          <w:p w14:paraId="4859CE48" w14:textId="76542F96" w:rsidR="00BA786C" w:rsidRPr="003F09A7" w:rsidRDefault="00BA786C" w:rsidP="00BA786C">
            <w:pPr>
              <w:pStyle w:val="Default"/>
              <w:rPr>
                <w:sz w:val="19"/>
                <w:szCs w:val="19"/>
              </w:rPr>
            </w:pPr>
            <w:r>
              <w:rPr>
                <w:sz w:val="19"/>
                <w:szCs w:val="19"/>
              </w:rPr>
              <w:t>PS 3</w:t>
            </w:r>
          </w:p>
        </w:tc>
        <w:tc>
          <w:tcPr>
            <w:tcW w:w="7689" w:type="dxa"/>
          </w:tcPr>
          <w:p w14:paraId="384B6C49" w14:textId="07B5C1AD" w:rsidR="00BA786C" w:rsidRPr="003F09A7" w:rsidRDefault="00BA786C" w:rsidP="00BA786C">
            <w:pPr>
              <w:pStyle w:val="Default"/>
              <w:rPr>
                <w:sz w:val="19"/>
                <w:szCs w:val="19"/>
              </w:rPr>
            </w:pPr>
          </w:p>
        </w:tc>
      </w:tr>
      <w:tr w:rsidR="00BA786C" w:rsidRPr="003F09A7" w14:paraId="6B513829" w14:textId="77777777" w:rsidTr="00BF5BCD">
        <w:trPr>
          <w:trHeight w:val="440"/>
        </w:trPr>
        <w:tc>
          <w:tcPr>
            <w:tcW w:w="763" w:type="dxa"/>
            <w:vAlign w:val="center"/>
          </w:tcPr>
          <w:p w14:paraId="0C95807A" w14:textId="77777777" w:rsidR="00BA786C" w:rsidRPr="003F09A7" w:rsidRDefault="00BA786C" w:rsidP="00BA786C">
            <w:pPr>
              <w:pStyle w:val="Default"/>
              <w:jc w:val="center"/>
              <w:rPr>
                <w:sz w:val="19"/>
                <w:szCs w:val="19"/>
              </w:rPr>
            </w:pPr>
            <w:r w:rsidRPr="003F09A7">
              <w:rPr>
                <w:sz w:val="19"/>
                <w:szCs w:val="19"/>
              </w:rPr>
              <w:t>12</w:t>
            </w:r>
          </w:p>
        </w:tc>
        <w:tc>
          <w:tcPr>
            <w:tcW w:w="1070" w:type="dxa"/>
            <w:vAlign w:val="center"/>
          </w:tcPr>
          <w:p w14:paraId="5E6E8C6E" w14:textId="77777777" w:rsidR="00BA786C" w:rsidRPr="003F09A7" w:rsidRDefault="00BA786C" w:rsidP="00BA786C">
            <w:pPr>
              <w:pStyle w:val="Default"/>
              <w:jc w:val="center"/>
              <w:rPr>
                <w:sz w:val="19"/>
                <w:szCs w:val="19"/>
              </w:rPr>
            </w:pPr>
            <w:r w:rsidRPr="003F09A7">
              <w:rPr>
                <w:rFonts w:eastAsia="Times New Roman" w:cs="Calibri"/>
                <w:sz w:val="19"/>
                <w:szCs w:val="19"/>
              </w:rPr>
              <w:t>April 26</w:t>
            </w:r>
          </w:p>
        </w:tc>
        <w:tc>
          <w:tcPr>
            <w:tcW w:w="5140" w:type="dxa"/>
          </w:tcPr>
          <w:p w14:paraId="520E3612" w14:textId="514C6866" w:rsidR="00BA786C" w:rsidRPr="003F09A7" w:rsidRDefault="00BA786C" w:rsidP="00BA786C">
            <w:pPr>
              <w:pStyle w:val="Default"/>
              <w:rPr>
                <w:sz w:val="19"/>
                <w:szCs w:val="19"/>
              </w:rPr>
            </w:pPr>
            <w:r w:rsidRPr="003F09A7">
              <w:rPr>
                <w:sz w:val="19"/>
                <w:szCs w:val="19"/>
              </w:rPr>
              <w:t>Panel Data: Clustering Standard Error</w:t>
            </w:r>
          </w:p>
        </w:tc>
        <w:tc>
          <w:tcPr>
            <w:tcW w:w="7689" w:type="dxa"/>
          </w:tcPr>
          <w:p w14:paraId="063D2FC7" w14:textId="7B4E0291" w:rsidR="00BA786C" w:rsidRPr="003F09A7" w:rsidRDefault="00BA786C" w:rsidP="00BA786C">
            <w:pPr>
              <w:pStyle w:val="Default"/>
              <w:rPr>
                <w:sz w:val="19"/>
                <w:szCs w:val="19"/>
              </w:rPr>
            </w:pPr>
            <w:r w:rsidRPr="003F09A7">
              <w:rPr>
                <w:sz w:val="19"/>
                <w:szCs w:val="19"/>
              </w:rPr>
              <w:t>Abadie, Alberto, Susan Athey, Guido W. Imbens, and Jeffrey M. Wooldridge. "When should you adjust standard errors for clustering?." </w:t>
            </w:r>
            <w:r w:rsidRPr="003F09A7">
              <w:rPr>
                <w:i/>
                <w:iCs/>
                <w:sz w:val="19"/>
                <w:szCs w:val="19"/>
              </w:rPr>
              <w:t>The Quarterly Journal of Economics</w:t>
            </w:r>
            <w:r w:rsidRPr="003F09A7">
              <w:rPr>
                <w:sz w:val="19"/>
                <w:szCs w:val="19"/>
              </w:rPr>
              <w:t> 138, no. 1 (2023): 1-35.</w:t>
            </w:r>
          </w:p>
        </w:tc>
      </w:tr>
      <w:tr w:rsidR="00BA786C" w:rsidRPr="003F09A7" w14:paraId="48213524" w14:textId="77777777" w:rsidTr="003F09A7">
        <w:trPr>
          <w:trHeight w:val="202"/>
        </w:trPr>
        <w:tc>
          <w:tcPr>
            <w:tcW w:w="763" w:type="dxa"/>
            <w:vAlign w:val="center"/>
          </w:tcPr>
          <w:p w14:paraId="25E4662C" w14:textId="77777777" w:rsidR="00BA786C" w:rsidRPr="003F09A7" w:rsidRDefault="00BA786C" w:rsidP="00BA786C">
            <w:pPr>
              <w:pStyle w:val="Default"/>
              <w:jc w:val="center"/>
              <w:rPr>
                <w:sz w:val="19"/>
                <w:szCs w:val="19"/>
              </w:rPr>
            </w:pPr>
            <w:r w:rsidRPr="003F09A7">
              <w:rPr>
                <w:sz w:val="19"/>
                <w:szCs w:val="19"/>
              </w:rPr>
              <w:t>13</w:t>
            </w:r>
          </w:p>
        </w:tc>
        <w:tc>
          <w:tcPr>
            <w:tcW w:w="1070" w:type="dxa"/>
            <w:vAlign w:val="center"/>
          </w:tcPr>
          <w:p w14:paraId="46306167" w14:textId="77777777" w:rsidR="00BA786C" w:rsidRPr="003F09A7" w:rsidRDefault="00BA786C" w:rsidP="00BA786C">
            <w:pPr>
              <w:pStyle w:val="Default"/>
              <w:jc w:val="center"/>
              <w:rPr>
                <w:sz w:val="19"/>
                <w:szCs w:val="19"/>
              </w:rPr>
            </w:pPr>
            <w:r w:rsidRPr="003F09A7">
              <w:rPr>
                <w:rFonts w:eastAsia="Times New Roman" w:cs="Calibri"/>
                <w:sz w:val="19"/>
                <w:szCs w:val="19"/>
              </w:rPr>
              <w:t>May 3</w:t>
            </w:r>
          </w:p>
        </w:tc>
        <w:tc>
          <w:tcPr>
            <w:tcW w:w="5140" w:type="dxa"/>
          </w:tcPr>
          <w:p w14:paraId="491587D5" w14:textId="0532C147" w:rsidR="00BA786C" w:rsidRPr="003F09A7" w:rsidRDefault="00BA786C" w:rsidP="00BA786C">
            <w:pPr>
              <w:pStyle w:val="Default"/>
              <w:rPr>
                <w:sz w:val="19"/>
                <w:szCs w:val="19"/>
              </w:rPr>
            </w:pPr>
            <w:r w:rsidRPr="003F09A7">
              <w:rPr>
                <w:sz w:val="19"/>
                <w:szCs w:val="19"/>
              </w:rPr>
              <w:t>DID with Differential Timing</w:t>
            </w:r>
          </w:p>
        </w:tc>
        <w:tc>
          <w:tcPr>
            <w:tcW w:w="7689" w:type="dxa"/>
          </w:tcPr>
          <w:p w14:paraId="072D79F8" w14:textId="77777777" w:rsidR="00BA786C" w:rsidRPr="003F09A7" w:rsidRDefault="00BA786C" w:rsidP="00BA786C">
            <w:pPr>
              <w:pStyle w:val="Default"/>
              <w:rPr>
                <w:sz w:val="19"/>
                <w:szCs w:val="19"/>
              </w:rPr>
            </w:pPr>
            <w:r w:rsidRPr="003F09A7">
              <w:rPr>
                <w:sz w:val="19"/>
                <w:szCs w:val="19"/>
              </w:rPr>
              <w:t>Baker, A. C., Larcker, D. F., &amp; Wang, C. C. (2022). How much should we trust staggered difference-in-differences estimates?. </w:t>
            </w:r>
            <w:r w:rsidRPr="003F09A7">
              <w:rPr>
                <w:i/>
                <w:iCs/>
                <w:sz w:val="19"/>
                <w:szCs w:val="19"/>
              </w:rPr>
              <w:t>Journal of Financial Economics</w:t>
            </w:r>
            <w:r w:rsidRPr="003F09A7">
              <w:rPr>
                <w:sz w:val="19"/>
                <w:szCs w:val="19"/>
              </w:rPr>
              <w:t>, </w:t>
            </w:r>
            <w:r w:rsidRPr="003F09A7">
              <w:rPr>
                <w:i/>
                <w:iCs/>
                <w:sz w:val="19"/>
                <w:szCs w:val="19"/>
              </w:rPr>
              <w:t>144</w:t>
            </w:r>
            <w:r w:rsidRPr="003F09A7">
              <w:rPr>
                <w:sz w:val="19"/>
                <w:szCs w:val="19"/>
              </w:rPr>
              <w:t>(2), 370-395.</w:t>
            </w:r>
          </w:p>
          <w:p w14:paraId="76ACC2E8" w14:textId="77777777" w:rsidR="00BA786C" w:rsidRPr="003F09A7" w:rsidRDefault="00BA786C" w:rsidP="00BA786C">
            <w:pPr>
              <w:pStyle w:val="Default"/>
              <w:rPr>
                <w:sz w:val="19"/>
                <w:szCs w:val="19"/>
              </w:rPr>
            </w:pPr>
            <w:r w:rsidRPr="003F09A7">
              <w:rPr>
                <w:sz w:val="19"/>
                <w:szCs w:val="19"/>
              </w:rPr>
              <w:t>Callaway, B., &amp; Sant’Anna, P. H. (2021). Difference-in-differences with multiple time periods. </w:t>
            </w:r>
            <w:r w:rsidRPr="003F09A7">
              <w:rPr>
                <w:i/>
                <w:iCs/>
                <w:sz w:val="19"/>
                <w:szCs w:val="19"/>
              </w:rPr>
              <w:t>Journal of econometrics</w:t>
            </w:r>
            <w:r w:rsidRPr="003F09A7">
              <w:rPr>
                <w:sz w:val="19"/>
                <w:szCs w:val="19"/>
              </w:rPr>
              <w:t>, </w:t>
            </w:r>
            <w:r w:rsidRPr="003F09A7">
              <w:rPr>
                <w:i/>
                <w:iCs/>
                <w:sz w:val="19"/>
                <w:szCs w:val="19"/>
              </w:rPr>
              <w:t>225</w:t>
            </w:r>
            <w:r w:rsidRPr="003F09A7">
              <w:rPr>
                <w:sz w:val="19"/>
                <w:szCs w:val="19"/>
              </w:rPr>
              <w:t>(2), 200-230.</w:t>
            </w:r>
          </w:p>
          <w:p w14:paraId="5CBE37BD" w14:textId="77777777" w:rsidR="00BA786C" w:rsidRPr="003F09A7" w:rsidRDefault="00BA786C" w:rsidP="00BA786C">
            <w:pPr>
              <w:pStyle w:val="Default"/>
              <w:rPr>
                <w:sz w:val="19"/>
                <w:szCs w:val="19"/>
              </w:rPr>
            </w:pPr>
            <w:r w:rsidRPr="003F09A7">
              <w:rPr>
                <w:sz w:val="19"/>
                <w:szCs w:val="19"/>
              </w:rPr>
              <w:t>Goodman-Bacon, A. (2021). Difference-in-differences with variation in treatment timing. </w:t>
            </w:r>
            <w:r w:rsidRPr="003F09A7">
              <w:rPr>
                <w:i/>
                <w:iCs/>
                <w:sz w:val="19"/>
                <w:szCs w:val="19"/>
              </w:rPr>
              <w:t>Journal of Econometrics</w:t>
            </w:r>
            <w:r w:rsidRPr="003F09A7">
              <w:rPr>
                <w:sz w:val="19"/>
                <w:szCs w:val="19"/>
              </w:rPr>
              <w:t>, </w:t>
            </w:r>
            <w:r w:rsidRPr="003F09A7">
              <w:rPr>
                <w:i/>
                <w:iCs/>
                <w:sz w:val="19"/>
                <w:szCs w:val="19"/>
              </w:rPr>
              <w:t>225</w:t>
            </w:r>
            <w:r w:rsidRPr="003F09A7">
              <w:rPr>
                <w:sz w:val="19"/>
                <w:szCs w:val="19"/>
              </w:rPr>
              <w:t>(2), 254-277.</w:t>
            </w:r>
          </w:p>
          <w:p w14:paraId="1A24FF26" w14:textId="086D3870" w:rsidR="00BA786C" w:rsidRPr="003F09A7" w:rsidRDefault="00BA786C" w:rsidP="00BA786C">
            <w:pPr>
              <w:pStyle w:val="Default"/>
              <w:rPr>
                <w:sz w:val="19"/>
                <w:szCs w:val="19"/>
              </w:rPr>
            </w:pPr>
            <w:r w:rsidRPr="003F09A7">
              <w:rPr>
                <w:sz w:val="19"/>
                <w:szCs w:val="19"/>
              </w:rPr>
              <w:t>Mixtape (Cunningham, 2021) Chapter 9.6: https://mixtape.scunning.com/09-difference_in_differences#twoway-fixed-effects-with-differential-timing</w:t>
            </w:r>
          </w:p>
        </w:tc>
      </w:tr>
      <w:tr w:rsidR="00BA786C" w:rsidRPr="003F09A7" w14:paraId="143AEC8E" w14:textId="77777777" w:rsidTr="00BF5BCD">
        <w:trPr>
          <w:trHeight w:val="278"/>
        </w:trPr>
        <w:tc>
          <w:tcPr>
            <w:tcW w:w="763" w:type="dxa"/>
            <w:vAlign w:val="center"/>
          </w:tcPr>
          <w:p w14:paraId="3D0087EF" w14:textId="77777777" w:rsidR="00BA786C" w:rsidRPr="003F09A7" w:rsidRDefault="00BA786C" w:rsidP="00BA786C">
            <w:pPr>
              <w:pStyle w:val="Default"/>
              <w:jc w:val="center"/>
              <w:rPr>
                <w:sz w:val="19"/>
                <w:szCs w:val="19"/>
              </w:rPr>
            </w:pPr>
            <w:r w:rsidRPr="003F09A7">
              <w:rPr>
                <w:sz w:val="19"/>
                <w:szCs w:val="19"/>
              </w:rPr>
              <w:t>14</w:t>
            </w:r>
          </w:p>
        </w:tc>
        <w:tc>
          <w:tcPr>
            <w:tcW w:w="1070" w:type="dxa"/>
            <w:vAlign w:val="center"/>
          </w:tcPr>
          <w:p w14:paraId="586BBE34" w14:textId="77777777" w:rsidR="00BA786C" w:rsidRPr="003F09A7" w:rsidRDefault="00BA786C" w:rsidP="00BA786C">
            <w:pPr>
              <w:pStyle w:val="Default"/>
              <w:jc w:val="center"/>
              <w:rPr>
                <w:sz w:val="19"/>
                <w:szCs w:val="19"/>
              </w:rPr>
            </w:pPr>
            <w:r w:rsidRPr="003F09A7">
              <w:rPr>
                <w:rFonts w:eastAsia="Times New Roman" w:cs="Calibri"/>
                <w:sz w:val="19"/>
                <w:szCs w:val="19"/>
              </w:rPr>
              <w:t>May 10</w:t>
            </w:r>
          </w:p>
        </w:tc>
        <w:tc>
          <w:tcPr>
            <w:tcW w:w="5140" w:type="dxa"/>
          </w:tcPr>
          <w:p w14:paraId="386CBDB0" w14:textId="6E5C4D8B" w:rsidR="00BA786C" w:rsidRPr="003F09A7" w:rsidRDefault="00BF5BCD" w:rsidP="00BA786C">
            <w:pPr>
              <w:pStyle w:val="Default"/>
              <w:rPr>
                <w:sz w:val="19"/>
                <w:szCs w:val="19"/>
              </w:rPr>
            </w:pPr>
            <w:r>
              <w:rPr>
                <w:sz w:val="19"/>
                <w:szCs w:val="19"/>
              </w:rPr>
              <w:t>PS4</w:t>
            </w:r>
          </w:p>
        </w:tc>
        <w:tc>
          <w:tcPr>
            <w:tcW w:w="7689" w:type="dxa"/>
          </w:tcPr>
          <w:p w14:paraId="3EB5D8E3" w14:textId="626D2DB0" w:rsidR="00BA786C" w:rsidRPr="003F09A7" w:rsidRDefault="00BA786C" w:rsidP="00BA786C">
            <w:pPr>
              <w:pStyle w:val="Default"/>
              <w:rPr>
                <w:sz w:val="19"/>
                <w:szCs w:val="19"/>
              </w:rPr>
            </w:pPr>
          </w:p>
        </w:tc>
      </w:tr>
      <w:tr w:rsidR="00BF5BCD" w:rsidRPr="003F09A7" w14:paraId="129BA20D" w14:textId="77777777" w:rsidTr="003F09A7">
        <w:trPr>
          <w:trHeight w:val="221"/>
        </w:trPr>
        <w:tc>
          <w:tcPr>
            <w:tcW w:w="763" w:type="dxa"/>
            <w:vAlign w:val="center"/>
          </w:tcPr>
          <w:p w14:paraId="3391C6B9" w14:textId="77777777" w:rsidR="00BF5BCD" w:rsidRPr="003F09A7" w:rsidRDefault="00BF5BCD" w:rsidP="00BF5BCD">
            <w:pPr>
              <w:pStyle w:val="Default"/>
              <w:jc w:val="center"/>
              <w:rPr>
                <w:sz w:val="19"/>
                <w:szCs w:val="19"/>
              </w:rPr>
            </w:pPr>
            <w:r w:rsidRPr="003F09A7">
              <w:rPr>
                <w:sz w:val="19"/>
                <w:szCs w:val="19"/>
              </w:rPr>
              <w:t>15</w:t>
            </w:r>
          </w:p>
        </w:tc>
        <w:tc>
          <w:tcPr>
            <w:tcW w:w="1070" w:type="dxa"/>
            <w:vAlign w:val="center"/>
          </w:tcPr>
          <w:p w14:paraId="7A817774" w14:textId="77777777" w:rsidR="00BF5BCD" w:rsidRPr="003F09A7" w:rsidRDefault="00BF5BCD" w:rsidP="00BF5BCD">
            <w:pPr>
              <w:pStyle w:val="Default"/>
              <w:jc w:val="center"/>
              <w:rPr>
                <w:sz w:val="19"/>
                <w:szCs w:val="19"/>
              </w:rPr>
            </w:pPr>
            <w:r w:rsidRPr="003F09A7">
              <w:rPr>
                <w:rFonts w:eastAsia="Times New Roman" w:cs="Calibri"/>
                <w:sz w:val="19"/>
                <w:szCs w:val="19"/>
              </w:rPr>
              <w:t>May 17</w:t>
            </w:r>
          </w:p>
        </w:tc>
        <w:tc>
          <w:tcPr>
            <w:tcW w:w="5140" w:type="dxa"/>
          </w:tcPr>
          <w:p w14:paraId="53D08B96" w14:textId="11820568" w:rsidR="00BF5BCD" w:rsidRPr="003F09A7" w:rsidRDefault="00BF5BCD" w:rsidP="00BF5BCD">
            <w:pPr>
              <w:pStyle w:val="Default"/>
              <w:rPr>
                <w:sz w:val="19"/>
                <w:szCs w:val="19"/>
              </w:rPr>
            </w:pPr>
            <w:r w:rsidRPr="003F09A7">
              <w:rPr>
                <w:rFonts w:hint="eastAsia"/>
                <w:sz w:val="19"/>
                <w:szCs w:val="19"/>
              </w:rPr>
              <w:t>S</w:t>
            </w:r>
            <w:r w:rsidRPr="003F09A7">
              <w:rPr>
                <w:sz w:val="19"/>
                <w:szCs w:val="19"/>
              </w:rPr>
              <w:t xml:space="preserve">ynthetic DID </w:t>
            </w:r>
          </w:p>
        </w:tc>
        <w:tc>
          <w:tcPr>
            <w:tcW w:w="7689" w:type="dxa"/>
          </w:tcPr>
          <w:p w14:paraId="44161AB5" w14:textId="77777777" w:rsidR="00BF5BCD" w:rsidRPr="003F09A7" w:rsidRDefault="00BF5BCD" w:rsidP="00BF5BCD">
            <w:pPr>
              <w:pStyle w:val="Default"/>
              <w:rPr>
                <w:sz w:val="19"/>
                <w:szCs w:val="19"/>
              </w:rPr>
            </w:pPr>
            <w:r w:rsidRPr="003F09A7">
              <w:rPr>
                <w:sz w:val="19"/>
                <w:szCs w:val="19"/>
              </w:rPr>
              <w:t>Arkhangelsky, D., Athey, S., Hirshberg, D. A., Imbens, G. W., &amp; Wager, S. (2021). Synthetic difference-in-differences. </w:t>
            </w:r>
            <w:r w:rsidRPr="003F09A7">
              <w:rPr>
                <w:i/>
                <w:iCs/>
                <w:sz w:val="19"/>
                <w:szCs w:val="19"/>
              </w:rPr>
              <w:t>American Economic Review</w:t>
            </w:r>
            <w:r w:rsidRPr="003F09A7">
              <w:rPr>
                <w:sz w:val="19"/>
                <w:szCs w:val="19"/>
              </w:rPr>
              <w:t>, </w:t>
            </w:r>
            <w:r w:rsidRPr="003F09A7">
              <w:rPr>
                <w:i/>
                <w:iCs/>
                <w:sz w:val="19"/>
                <w:szCs w:val="19"/>
              </w:rPr>
              <w:t>111</w:t>
            </w:r>
            <w:r w:rsidRPr="003F09A7">
              <w:rPr>
                <w:sz w:val="19"/>
                <w:szCs w:val="19"/>
              </w:rPr>
              <w:t>(12), 4088-4118.</w:t>
            </w:r>
          </w:p>
          <w:p w14:paraId="1F0B66E0" w14:textId="77777777" w:rsidR="00BF5BCD" w:rsidRPr="003F09A7" w:rsidRDefault="00BF5BCD" w:rsidP="00BF5BCD">
            <w:pPr>
              <w:pStyle w:val="Default"/>
              <w:rPr>
                <w:sz w:val="19"/>
                <w:szCs w:val="19"/>
              </w:rPr>
            </w:pPr>
            <w:r w:rsidRPr="003F09A7">
              <w:rPr>
                <w:sz w:val="19"/>
                <w:szCs w:val="19"/>
              </w:rPr>
              <w:t>Clarke, D., Pailañir, D., Athey, S., &amp; Imbens, G. (2023). Synthetic difference in differences estima</w:t>
            </w:r>
            <w:r w:rsidRPr="003F09A7">
              <w:rPr>
                <w:sz w:val="19"/>
                <w:szCs w:val="19"/>
              </w:rPr>
              <w:lastRenderedPageBreak/>
              <w:t>tion. </w:t>
            </w:r>
            <w:r w:rsidRPr="003F09A7">
              <w:rPr>
                <w:i/>
                <w:iCs/>
                <w:sz w:val="19"/>
                <w:szCs w:val="19"/>
              </w:rPr>
              <w:t>arXiv preprint arXiv:2301.11859</w:t>
            </w:r>
            <w:r w:rsidRPr="003F09A7">
              <w:rPr>
                <w:sz w:val="19"/>
                <w:szCs w:val="19"/>
              </w:rPr>
              <w:t>.</w:t>
            </w:r>
          </w:p>
          <w:p w14:paraId="0287C972" w14:textId="1376600B" w:rsidR="00BF5BCD" w:rsidRPr="003F09A7" w:rsidRDefault="00BF5BCD" w:rsidP="00BF5BCD">
            <w:pPr>
              <w:pStyle w:val="Default"/>
              <w:rPr>
                <w:sz w:val="19"/>
                <w:szCs w:val="19"/>
              </w:rPr>
            </w:pPr>
            <w:r w:rsidRPr="003F09A7">
              <w:rPr>
                <w:sz w:val="19"/>
                <w:szCs w:val="19"/>
              </w:rPr>
              <w:t>Pailañir, D., &amp; Clarke, D. (2023). SDID: Stata module to perform synthetic difference-in-differences estimation, inference, and visualization.</w:t>
            </w:r>
          </w:p>
        </w:tc>
      </w:tr>
    </w:tbl>
    <w:p w14:paraId="590EDD9E" w14:textId="77777777" w:rsidR="00DA39AF" w:rsidRPr="0073697B" w:rsidRDefault="00DA39AF" w:rsidP="0073697B">
      <w:pPr>
        <w:pStyle w:val="Default"/>
      </w:pPr>
    </w:p>
    <w:sectPr w:rsidR="00DA39AF" w:rsidRPr="0073697B" w:rsidSect="00307225">
      <w:type w:val="continuous"/>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774D0"/>
    <w:multiLevelType w:val="hybridMultilevel"/>
    <w:tmpl w:val="149ABFEC"/>
    <w:lvl w:ilvl="0" w:tplc="BCF24A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71745"/>
    <w:multiLevelType w:val="hybridMultilevel"/>
    <w:tmpl w:val="939A0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7506F"/>
    <w:multiLevelType w:val="hybridMultilevel"/>
    <w:tmpl w:val="5E6821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57489"/>
    <w:multiLevelType w:val="hybridMultilevel"/>
    <w:tmpl w:val="C4F8E718"/>
    <w:lvl w:ilvl="0" w:tplc="1EE80F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BC2AEE"/>
    <w:multiLevelType w:val="hybridMultilevel"/>
    <w:tmpl w:val="0FF224EC"/>
    <w:lvl w:ilvl="0" w:tplc="09A0C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E4272"/>
    <w:multiLevelType w:val="hybridMultilevel"/>
    <w:tmpl w:val="3470054E"/>
    <w:lvl w:ilvl="0" w:tplc="7E503090">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11194A"/>
    <w:multiLevelType w:val="hybridMultilevel"/>
    <w:tmpl w:val="BB82E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2A4966"/>
    <w:multiLevelType w:val="hybridMultilevel"/>
    <w:tmpl w:val="1E4473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6D37AE"/>
    <w:multiLevelType w:val="hybridMultilevel"/>
    <w:tmpl w:val="7CD476C8"/>
    <w:lvl w:ilvl="0" w:tplc="26B2C96A">
      <w:start w:val="1"/>
      <w:numFmt w:val="upp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205B67"/>
    <w:multiLevelType w:val="hybridMultilevel"/>
    <w:tmpl w:val="9B72D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2E6B1A"/>
    <w:multiLevelType w:val="hybridMultilevel"/>
    <w:tmpl w:val="AFBA0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7B5B65"/>
    <w:multiLevelType w:val="hybridMultilevel"/>
    <w:tmpl w:val="C3FA07AE"/>
    <w:lvl w:ilvl="0" w:tplc="57744E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BF77F2"/>
    <w:multiLevelType w:val="hybridMultilevel"/>
    <w:tmpl w:val="82AC6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ED12BC"/>
    <w:multiLevelType w:val="hybridMultilevel"/>
    <w:tmpl w:val="C2222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4A54B1"/>
    <w:multiLevelType w:val="hybridMultilevel"/>
    <w:tmpl w:val="939A0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3D2227"/>
    <w:multiLevelType w:val="hybridMultilevel"/>
    <w:tmpl w:val="BEFEA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7A5280"/>
    <w:multiLevelType w:val="hybridMultilevel"/>
    <w:tmpl w:val="74AC53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3DC8F52">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4E7A62"/>
    <w:multiLevelType w:val="hybridMultilevel"/>
    <w:tmpl w:val="939A0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5F3C38"/>
    <w:multiLevelType w:val="hybridMultilevel"/>
    <w:tmpl w:val="F42A8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AB0427"/>
    <w:multiLevelType w:val="hybridMultilevel"/>
    <w:tmpl w:val="EC24A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5145132">
    <w:abstractNumId w:val="0"/>
  </w:num>
  <w:num w:numId="2" w16cid:durableId="795608851">
    <w:abstractNumId w:val="4"/>
  </w:num>
  <w:num w:numId="3" w16cid:durableId="2062971844">
    <w:abstractNumId w:val="7"/>
  </w:num>
  <w:num w:numId="4" w16cid:durableId="1713846453">
    <w:abstractNumId w:val="16"/>
  </w:num>
  <w:num w:numId="5" w16cid:durableId="653149568">
    <w:abstractNumId w:val="2"/>
  </w:num>
  <w:num w:numId="6" w16cid:durableId="1134250302">
    <w:abstractNumId w:val="5"/>
  </w:num>
  <w:num w:numId="7" w16cid:durableId="990905021">
    <w:abstractNumId w:val="8"/>
  </w:num>
  <w:num w:numId="8" w16cid:durableId="1340624711">
    <w:abstractNumId w:val="3"/>
  </w:num>
  <w:num w:numId="9" w16cid:durableId="1942639489">
    <w:abstractNumId w:val="19"/>
  </w:num>
  <w:num w:numId="10" w16cid:durableId="382950315">
    <w:abstractNumId w:val="15"/>
  </w:num>
  <w:num w:numId="11" w16cid:durableId="2042895916">
    <w:abstractNumId w:val="14"/>
  </w:num>
  <w:num w:numId="12" w16cid:durableId="1587303713">
    <w:abstractNumId w:val="18"/>
  </w:num>
  <w:num w:numId="13" w16cid:durableId="602344563">
    <w:abstractNumId w:val="11"/>
  </w:num>
  <w:num w:numId="14" w16cid:durableId="39742950">
    <w:abstractNumId w:val="10"/>
  </w:num>
  <w:num w:numId="15" w16cid:durableId="1198813442">
    <w:abstractNumId w:val="17"/>
  </w:num>
  <w:num w:numId="16" w16cid:durableId="1531067481">
    <w:abstractNumId w:val="12"/>
  </w:num>
  <w:num w:numId="17" w16cid:durableId="967856776">
    <w:abstractNumId w:val="1"/>
  </w:num>
  <w:num w:numId="18" w16cid:durableId="1568106788">
    <w:abstractNumId w:val="9"/>
  </w:num>
  <w:num w:numId="19" w16cid:durableId="858353163">
    <w:abstractNumId w:val="13"/>
  </w:num>
  <w:num w:numId="20" w16cid:durableId="1971594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D60D2"/>
    <w:rsid w:val="000160E5"/>
    <w:rsid w:val="00045682"/>
    <w:rsid w:val="0004613D"/>
    <w:rsid w:val="00052772"/>
    <w:rsid w:val="00054AB7"/>
    <w:rsid w:val="00064F91"/>
    <w:rsid w:val="000657F9"/>
    <w:rsid w:val="00072E2C"/>
    <w:rsid w:val="000731FB"/>
    <w:rsid w:val="00073C66"/>
    <w:rsid w:val="000750B6"/>
    <w:rsid w:val="000A3A22"/>
    <w:rsid w:val="000A4311"/>
    <w:rsid w:val="000B087E"/>
    <w:rsid w:val="000C2A6B"/>
    <w:rsid w:val="000D1210"/>
    <w:rsid w:val="000E046F"/>
    <w:rsid w:val="000F25DD"/>
    <w:rsid w:val="000F2EA6"/>
    <w:rsid w:val="00106300"/>
    <w:rsid w:val="00110B21"/>
    <w:rsid w:val="00115980"/>
    <w:rsid w:val="00115F6B"/>
    <w:rsid w:val="00122EDB"/>
    <w:rsid w:val="001335AC"/>
    <w:rsid w:val="0014218B"/>
    <w:rsid w:val="00150A80"/>
    <w:rsid w:val="001558D2"/>
    <w:rsid w:val="00161888"/>
    <w:rsid w:val="001709A4"/>
    <w:rsid w:val="00174BB1"/>
    <w:rsid w:val="001852D0"/>
    <w:rsid w:val="001A0529"/>
    <w:rsid w:val="001A0CC4"/>
    <w:rsid w:val="001B1377"/>
    <w:rsid w:val="001B294B"/>
    <w:rsid w:val="001B3F19"/>
    <w:rsid w:val="001B422B"/>
    <w:rsid w:val="001B48B4"/>
    <w:rsid w:val="001B4C61"/>
    <w:rsid w:val="001C1A70"/>
    <w:rsid w:val="001D7691"/>
    <w:rsid w:val="001E6C02"/>
    <w:rsid w:val="001F27C0"/>
    <w:rsid w:val="002015F1"/>
    <w:rsid w:val="00202A31"/>
    <w:rsid w:val="0022002F"/>
    <w:rsid w:val="002261EE"/>
    <w:rsid w:val="002263C2"/>
    <w:rsid w:val="002273D4"/>
    <w:rsid w:val="00227E1D"/>
    <w:rsid w:val="00237EAE"/>
    <w:rsid w:val="00247241"/>
    <w:rsid w:val="00252FB6"/>
    <w:rsid w:val="00266839"/>
    <w:rsid w:val="0027358E"/>
    <w:rsid w:val="002742AC"/>
    <w:rsid w:val="00281CD8"/>
    <w:rsid w:val="00287245"/>
    <w:rsid w:val="00297728"/>
    <w:rsid w:val="002A3FAE"/>
    <w:rsid w:val="002A6E6C"/>
    <w:rsid w:val="002B3840"/>
    <w:rsid w:val="002B559B"/>
    <w:rsid w:val="002D1689"/>
    <w:rsid w:val="002E003F"/>
    <w:rsid w:val="002E0191"/>
    <w:rsid w:val="002E14A9"/>
    <w:rsid w:val="002E2FB6"/>
    <w:rsid w:val="002E5453"/>
    <w:rsid w:val="002E66AE"/>
    <w:rsid w:val="002F7439"/>
    <w:rsid w:val="002F746F"/>
    <w:rsid w:val="00307225"/>
    <w:rsid w:val="00327034"/>
    <w:rsid w:val="00332E3A"/>
    <w:rsid w:val="00353205"/>
    <w:rsid w:val="00355605"/>
    <w:rsid w:val="0036077F"/>
    <w:rsid w:val="00364987"/>
    <w:rsid w:val="00366C7D"/>
    <w:rsid w:val="00371342"/>
    <w:rsid w:val="0039039E"/>
    <w:rsid w:val="00390786"/>
    <w:rsid w:val="0039612C"/>
    <w:rsid w:val="003A6FED"/>
    <w:rsid w:val="003B617A"/>
    <w:rsid w:val="003D04D1"/>
    <w:rsid w:val="003E0B70"/>
    <w:rsid w:val="003E20D7"/>
    <w:rsid w:val="003E6B04"/>
    <w:rsid w:val="003E7035"/>
    <w:rsid w:val="003F09A7"/>
    <w:rsid w:val="0040083D"/>
    <w:rsid w:val="00414B25"/>
    <w:rsid w:val="0041585D"/>
    <w:rsid w:val="004362F9"/>
    <w:rsid w:val="00440840"/>
    <w:rsid w:val="00447EC2"/>
    <w:rsid w:val="00462D2B"/>
    <w:rsid w:val="0046701B"/>
    <w:rsid w:val="00473E8C"/>
    <w:rsid w:val="00474219"/>
    <w:rsid w:val="004820F5"/>
    <w:rsid w:val="004850AF"/>
    <w:rsid w:val="00491023"/>
    <w:rsid w:val="00493E02"/>
    <w:rsid w:val="004A45DF"/>
    <w:rsid w:val="004A6B12"/>
    <w:rsid w:val="004A77D4"/>
    <w:rsid w:val="004B36DC"/>
    <w:rsid w:val="004B3E24"/>
    <w:rsid w:val="004C5F49"/>
    <w:rsid w:val="004E3C2F"/>
    <w:rsid w:val="004E5584"/>
    <w:rsid w:val="004F03D8"/>
    <w:rsid w:val="004F1161"/>
    <w:rsid w:val="004F5B9D"/>
    <w:rsid w:val="00504983"/>
    <w:rsid w:val="00507CFB"/>
    <w:rsid w:val="00517E4E"/>
    <w:rsid w:val="00531FB0"/>
    <w:rsid w:val="00536058"/>
    <w:rsid w:val="00537ED9"/>
    <w:rsid w:val="00542795"/>
    <w:rsid w:val="00546290"/>
    <w:rsid w:val="00547AA1"/>
    <w:rsid w:val="00556E12"/>
    <w:rsid w:val="00557E49"/>
    <w:rsid w:val="0056173F"/>
    <w:rsid w:val="0056342A"/>
    <w:rsid w:val="005678BD"/>
    <w:rsid w:val="00570216"/>
    <w:rsid w:val="005811DB"/>
    <w:rsid w:val="00581435"/>
    <w:rsid w:val="005B1660"/>
    <w:rsid w:val="005C4C7C"/>
    <w:rsid w:val="005D105D"/>
    <w:rsid w:val="005E248E"/>
    <w:rsid w:val="005E4B19"/>
    <w:rsid w:val="005F47F9"/>
    <w:rsid w:val="00607D47"/>
    <w:rsid w:val="00612C28"/>
    <w:rsid w:val="006229DC"/>
    <w:rsid w:val="00631C70"/>
    <w:rsid w:val="006336C0"/>
    <w:rsid w:val="006358EB"/>
    <w:rsid w:val="006418F5"/>
    <w:rsid w:val="00650AB8"/>
    <w:rsid w:val="00654385"/>
    <w:rsid w:val="00663617"/>
    <w:rsid w:val="00663CA7"/>
    <w:rsid w:val="00667231"/>
    <w:rsid w:val="00675B08"/>
    <w:rsid w:val="00680B60"/>
    <w:rsid w:val="006879D2"/>
    <w:rsid w:val="00697651"/>
    <w:rsid w:val="006A5D9E"/>
    <w:rsid w:val="006A6B54"/>
    <w:rsid w:val="006A6BC8"/>
    <w:rsid w:val="006B0A44"/>
    <w:rsid w:val="006B1737"/>
    <w:rsid w:val="006B5B85"/>
    <w:rsid w:val="006B6C30"/>
    <w:rsid w:val="006B74C1"/>
    <w:rsid w:val="006C65F6"/>
    <w:rsid w:val="006D4C07"/>
    <w:rsid w:val="006E16F1"/>
    <w:rsid w:val="006E6760"/>
    <w:rsid w:val="006E7710"/>
    <w:rsid w:val="006F0B21"/>
    <w:rsid w:val="006F551B"/>
    <w:rsid w:val="006F5C0E"/>
    <w:rsid w:val="006F768C"/>
    <w:rsid w:val="006F7DF5"/>
    <w:rsid w:val="00700AD3"/>
    <w:rsid w:val="00703B3B"/>
    <w:rsid w:val="00715D04"/>
    <w:rsid w:val="0071799E"/>
    <w:rsid w:val="007353EA"/>
    <w:rsid w:val="0073697B"/>
    <w:rsid w:val="00737C77"/>
    <w:rsid w:val="007451A8"/>
    <w:rsid w:val="00746F1E"/>
    <w:rsid w:val="00751CFE"/>
    <w:rsid w:val="0075342D"/>
    <w:rsid w:val="0076383D"/>
    <w:rsid w:val="00777BB4"/>
    <w:rsid w:val="00783C0F"/>
    <w:rsid w:val="007851D3"/>
    <w:rsid w:val="00786E6F"/>
    <w:rsid w:val="00791347"/>
    <w:rsid w:val="007A7F2E"/>
    <w:rsid w:val="007B7820"/>
    <w:rsid w:val="007C59F9"/>
    <w:rsid w:val="007D2B8B"/>
    <w:rsid w:val="007F27A0"/>
    <w:rsid w:val="007F3B32"/>
    <w:rsid w:val="007F4CEA"/>
    <w:rsid w:val="0080167C"/>
    <w:rsid w:val="00817F9B"/>
    <w:rsid w:val="00817FDC"/>
    <w:rsid w:val="00820604"/>
    <w:rsid w:val="00822459"/>
    <w:rsid w:val="00840516"/>
    <w:rsid w:val="008564BA"/>
    <w:rsid w:val="00862A0E"/>
    <w:rsid w:val="00870449"/>
    <w:rsid w:val="00887363"/>
    <w:rsid w:val="00893668"/>
    <w:rsid w:val="008A0311"/>
    <w:rsid w:val="008A4260"/>
    <w:rsid w:val="008C6610"/>
    <w:rsid w:val="008F1C75"/>
    <w:rsid w:val="009041D2"/>
    <w:rsid w:val="009044CE"/>
    <w:rsid w:val="009125DB"/>
    <w:rsid w:val="00931A42"/>
    <w:rsid w:val="00931CED"/>
    <w:rsid w:val="0094483E"/>
    <w:rsid w:val="00965E68"/>
    <w:rsid w:val="0097771F"/>
    <w:rsid w:val="00981042"/>
    <w:rsid w:val="00986F73"/>
    <w:rsid w:val="00993E95"/>
    <w:rsid w:val="009979AB"/>
    <w:rsid w:val="009A3AE4"/>
    <w:rsid w:val="009A4B89"/>
    <w:rsid w:val="009B157F"/>
    <w:rsid w:val="009C314D"/>
    <w:rsid w:val="009C4949"/>
    <w:rsid w:val="009D3F7B"/>
    <w:rsid w:val="009D415B"/>
    <w:rsid w:val="009D6127"/>
    <w:rsid w:val="009E087C"/>
    <w:rsid w:val="009E0D8C"/>
    <w:rsid w:val="009E2464"/>
    <w:rsid w:val="009E26F4"/>
    <w:rsid w:val="009E49AC"/>
    <w:rsid w:val="009E6A95"/>
    <w:rsid w:val="009F13A7"/>
    <w:rsid w:val="009F2A88"/>
    <w:rsid w:val="009F5CA1"/>
    <w:rsid w:val="00A13909"/>
    <w:rsid w:val="00A13F5F"/>
    <w:rsid w:val="00A35E93"/>
    <w:rsid w:val="00A44426"/>
    <w:rsid w:val="00A57B6C"/>
    <w:rsid w:val="00A66087"/>
    <w:rsid w:val="00A7086D"/>
    <w:rsid w:val="00A738FA"/>
    <w:rsid w:val="00A81961"/>
    <w:rsid w:val="00A81ADF"/>
    <w:rsid w:val="00A86878"/>
    <w:rsid w:val="00A92143"/>
    <w:rsid w:val="00A93CD4"/>
    <w:rsid w:val="00AA373C"/>
    <w:rsid w:val="00AA3C24"/>
    <w:rsid w:val="00AB1BC0"/>
    <w:rsid w:val="00AB2FF6"/>
    <w:rsid w:val="00AB5C0E"/>
    <w:rsid w:val="00AC7FD4"/>
    <w:rsid w:val="00AD10C8"/>
    <w:rsid w:val="00AD2B6D"/>
    <w:rsid w:val="00AD6979"/>
    <w:rsid w:val="00AE3028"/>
    <w:rsid w:val="00AE6186"/>
    <w:rsid w:val="00AE6FCF"/>
    <w:rsid w:val="00AF06C7"/>
    <w:rsid w:val="00AF4240"/>
    <w:rsid w:val="00AF76E2"/>
    <w:rsid w:val="00B029C7"/>
    <w:rsid w:val="00B03991"/>
    <w:rsid w:val="00B125F3"/>
    <w:rsid w:val="00B23BD6"/>
    <w:rsid w:val="00B25013"/>
    <w:rsid w:val="00B260A2"/>
    <w:rsid w:val="00B406F6"/>
    <w:rsid w:val="00B412A2"/>
    <w:rsid w:val="00B433A3"/>
    <w:rsid w:val="00B46522"/>
    <w:rsid w:val="00B50E4E"/>
    <w:rsid w:val="00B55F58"/>
    <w:rsid w:val="00B7705D"/>
    <w:rsid w:val="00B8610E"/>
    <w:rsid w:val="00B86280"/>
    <w:rsid w:val="00B91E3D"/>
    <w:rsid w:val="00BA36A2"/>
    <w:rsid w:val="00BA6087"/>
    <w:rsid w:val="00BA786C"/>
    <w:rsid w:val="00BB2FFB"/>
    <w:rsid w:val="00BD7636"/>
    <w:rsid w:val="00BF4FEE"/>
    <w:rsid w:val="00BF5BCD"/>
    <w:rsid w:val="00C008CB"/>
    <w:rsid w:val="00C03A33"/>
    <w:rsid w:val="00C076B6"/>
    <w:rsid w:val="00C112C7"/>
    <w:rsid w:val="00C1590C"/>
    <w:rsid w:val="00C22B54"/>
    <w:rsid w:val="00C32896"/>
    <w:rsid w:val="00C3639A"/>
    <w:rsid w:val="00C36E5A"/>
    <w:rsid w:val="00C4727A"/>
    <w:rsid w:val="00C51E34"/>
    <w:rsid w:val="00C725BB"/>
    <w:rsid w:val="00C844EE"/>
    <w:rsid w:val="00C849A4"/>
    <w:rsid w:val="00C85265"/>
    <w:rsid w:val="00C8754C"/>
    <w:rsid w:val="00C9359E"/>
    <w:rsid w:val="00C948C3"/>
    <w:rsid w:val="00C97EF6"/>
    <w:rsid w:val="00CA2626"/>
    <w:rsid w:val="00CA733A"/>
    <w:rsid w:val="00CB6144"/>
    <w:rsid w:val="00CB7239"/>
    <w:rsid w:val="00CC0F4D"/>
    <w:rsid w:val="00CC7EF7"/>
    <w:rsid w:val="00CD20E2"/>
    <w:rsid w:val="00CF04E0"/>
    <w:rsid w:val="00CF5ED7"/>
    <w:rsid w:val="00CF6F02"/>
    <w:rsid w:val="00D06E95"/>
    <w:rsid w:val="00D30114"/>
    <w:rsid w:val="00D314A1"/>
    <w:rsid w:val="00D31FF4"/>
    <w:rsid w:val="00D32806"/>
    <w:rsid w:val="00D446F1"/>
    <w:rsid w:val="00D45AAF"/>
    <w:rsid w:val="00D54BB7"/>
    <w:rsid w:val="00D61B30"/>
    <w:rsid w:val="00D664ED"/>
    <w:rsid w:val="00D80E73"/>
    <w:rsid w:val="00D92DBF"/>
    <w:rsid w:val="00D93EEB"/>
    <w:rsid w:val="00D97EBE"/>
    <w:rsid w:val="00DA39AF"/>
    <w:rsid w:val="00DA59DF"/>
    <w:rsid w:val="00DA6160"/>
    <w:rsid w:val="00DC3C1A"/>
    <w:rsid w:val="00DC71DE"/>
    <w:rsid w:val="00DD02FE"/>
    <w:rsid w:val="00DD36D5"/>
    <w:rsid w:val="00DD60D2"/>
    <w:rsid w:val="00DF14EA"/>
    <w:rsid w:val="00DF232E"/>
    <w:rsid w:val="00E01307"/>
    <w:rsid w:val="00E02EB7"/>
    <w:rsid w:val="00E04B2F"/>
    <w:rsid w:val="00E05550"/>
    <w:rsid w:val="00E152C0"/>
    <w:rsid w:val="00E363B4"/>
    <w:rsid w:val="00E40426"/>
    <w:rsid w:val="00E418AE"/>
    <w:rsid w:val="00E466CF"/>
    <w:rsid w:val="00E52A0B"/>
    <w:rsid w:val="00E539A9"/>
    <w:rsid w:val="00E63853"/>
    <w:rsid w:val="00E6400E"/>
    <w:rsid w:val="00E64172"/>
    <w:rsid w:val="00E70E99"/>
    <w:rsid w:val="00E82AD3"/>
    <w:rsid w:val="00E941D0"/>
    <w:rsid w:val="00EA180D"/>
    <w:rsid w:val="00EB019D"/>
    <w:rsid w:val="00EB7E0D"/>
    <w:rsid w:val="00EC16E9"/>
    <w:rsid w:val="00EC3E13"/>
    <w:rsid w:val="00EC6781"/>
    <w:rsid w:val="00ED0017"/>
    <w:rsid w:val="00ED0054"/>
    <w:rsid w:val="00ED0ED6"/>
    <w:rsid w:val="00ED3CE3"/>
    <w:rsid w:val="00EE3774"/>
    <w:rsid w:val="00EE4B61"/>
    <w:rsid w:val="00EE5498"/>
    <w:rsid w:val="00EF67C8"/>
    <w:rsid w:val="00F14638"/>
    <w:rsid w:val="00F15648"/>
    <w:rsid w:val="00F21487"/>
    <w:rsid w:val="00F24487"/>
    <w:rsid w:val="00F32740"/>
    <w:rsid w:val="00F353D8"/>
    <w:rsid w:val="00F66768"/>
    <w:rsid w:val="00F66D34"/>
    <w:rsid w:val="00F746AA"/>
    <w:rsid w:val="00F875E3"/>
    <w:rsid w:val="00F92580"/>
    <w:rsid w:val="00FA5910"/>
    <w:rsid w:val="00FB024A"/>
    <w:rsid w:val="00FE2D53"/>
    <w:rsid w:val="00FE6728"/>
    <w:rsid w:val="00FF2D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D93258"/>
  <w15:docId w15:val="{11614AE1-16D8-4DEF-A207-657E06996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77D4"/>
    <w:rPr>
      <w:color w:val="0563C1" w:themeColor="hyperlink"/>
      <w:u w:val="single"/>
    </w:rPr>
  </w:style>
  <w:style w:type="paragraph" w:styleId="ListParagraph">
    <w:name w:val="List Paragraph"/>
    <w:basedOn w:val="Normal"/>
    <w:uiPriority w:val="34"/>
    <w:qFormat/>
    <w:rsid w:val="00786E6F"/>
    <w:pPr>
      <w:ind w:left="720"/>
      <w:contextualSpacing/>
    </w:pPr>
  </w:style>
  <w:style w:type="paragraph" w:customStyle="1" w:styleId="Default">
    <w:name w:val="Default"/>
    <w:link w:val="DefaultChar"/>
    <w:rsid w:val="00786E6F"/>
    <w:pPr>
      <w:autoSpaceDE w:val="0"/>
      <w:autoSpaceDN w:val="0"/>
      <w:adjustRightInd w:val="0"/>
      <w:spacing w:after="0" w:line="240" w:lineRule="auto"/>
    </w:pPr>
    <w:rPr>
      <w:rFonts w:ascii="Garamond" w:hAnsi="Garamond" w:cs="Garamond"/>
      <w:color w:val="000000"/>
      <w:sz w:val="24"/>
      <w:szCs w:val="24"/>
    </w:rPr>
  </w:style>
  <w:style w:type="paragraph" w:styleId="NoSpacing">
    <w:name w:val="No Spacing"/>
    <w:uiPriority w:val="1"/>
    <w:qFormat/>
    <w:rsid w:val="00C849A4"/>
    <w:pPr>
      <w:spacing w:after="0" w:line="240" w:lineRule="auto"/>
    </w:pPr>
  </w:style>
  <w:style w:type="paragraph" w:styleId="NormalWeb">
    <w:name w:val="Normal (Web)"/>
    <w:basedOn w:val="Normal"/>
    <w:uiPriority w:val="99"/>
    <w:unhideWhenUsed/>
    <w:rsid w:val="00C849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 Char"/>
    <w:link w:val="Default"/>
    <w:rsid w:val="001B4C61"/>
    <w:rPr>
      <w:rFonts w:ascii="Garamond" w:hAnsi="Garamond" w:cs="Garamond"/>
      <w:color w:val="000000"/>
      <w:sz w:val="24"/>
      <w:szCs w:val="24"/>
    </w:rPr>
  </w:style>
  <w:style w:type="table" w:styleId="TableGrid">
    <w:name w:val="Table Grid"/>
    <w:basedOn w:val="TableNormal"/>
    <w:uiPriority w:val="39"/>
    <w:rsid w:val="00052772"/>
    <w:pPr>
      <w:spacing w:after="0" w:line="240" w:lineRule="auto"/>
    </w:pPr>
    <w:rPr>
      <w:sz w:val="24"/>
      <w:szCs w:val="24"/>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1B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B30"/>
    <w:rPr>
      <w:rFonts w:ascii="Segoe UI" w:hAnsi="Segoe UI" w:cs="Segoe UI"/>
      <w:sz w:val="18"/>
      <w:szCs w:val="18"/>
    </w:rPr>
  </w:style>
  <w:style w:type="character" w:styleId="UnresolvedMention">
    <w:name w:val="Unresolved Mention"/>
    <w:basedOn w:val="DefaultParagraphFont"/>
    <w:uiPriority w:val="99"/>
    <w:semiHidden/>
    <w:unhideWhenUsed/>
    <w:rsid w:val="0056173F"/>
    <w:rPr>
      <w:color w:val="605E5C"/>
      <w:shd w:val="clear" w:color="auto" w:fill="E1DFDD"/>
    </w:rPr>
  </w:style>
  <w:style w:type="paragraph" w:styleId="Revision">
    <w:name w:val="Revision"/>
    <w:hidden/>
    <w:uiPriority w:val="99"/>
    <w:semiHidden/>
    <w:rsid w:val="00A7086D"/>
    <w:pPr>
      <w:spacing w:after="0" w:line="240" w:lineRule="auto"/>
    </w:pPr>
  </w:style>
  <w:style w:type="character" w:styleId="FollowedHyperlink">
    <w:name w:val="FollowedHyperlink"/>
    <w:basedOn w:val="DefaultParagraphFont"/>
    <w:uiPriority w:val="99"/>
    <w:semiHidden/>
    <w:unhideWhenUsed/>
    <w:rsid w:val="00556E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4489">
      <w:bodyDiv w:val="1"/>
      <w:marLeft w:val="0"/>
      <w:marRight w:val="0"/>
      <w:marTop w:val="0"/>
      <w:marBottom w:val="0"/>
      <w:divBdr>
        <w:top w:val="none" w:sz="0" w:space="0" w:color="auto"/>
        <w:left w:val="none" w:sz="0" w:space="0" w:color="auto"/>
        <w:bottom w:val="none" w:sz="0" w:space="0" w:color="auto"/>
        <w:right w:val="none" w:sz="0" w:space="0" w:color="auto"/>
      </w:divBdr>
    </w:div>
    <w:div w:id="512958052">
      <w:bodyDiv w:val="1"/>
      <w:marLeft w:val="0"/>
      <w:marRight w:val="0"/>
      <w:marTop w:val="0"/>
      <w:marBottom w:val="0"/>
      <w:divBdr>
        <w:top w:val="none" w:sz="0" w:space="0" w:color="auto"/>
        <w:left w:val="none" w:sz="0" w:space="0" w:color="auto"/>
        <w:bottom w:val="none" w:sz="0" w:space="0" w:color="auto"/>
        <w:right w:val="none" w:sz="0" w:space="0" w:color="auto"/>
      </w:divBdr>
    </w:div>
    <w:div w:id="572545238">
      <w:bodyDiv w:val="1"/>
      <w:marLeft w:val="0"/>
      <w:marRight w:val="0"/>
      <w:marTop w:val="0"/>
      <w:marBottom w:val="0"/>
      <w:divBdr>
        <w:top w:val="none" w:sz="0" w:space="0" w:color="auto"/>
        <w:left w:val="none" w:sz="0" w:space="0" w:color="auto"/>
        <w:bottom w:val="none" w:sz="0" w:space="0" w:color="auto"/>
        <w:right w:val="none" w:sz="0" w:space="0" w:color="auto"/>
      </w:divBdr>
      <w:divsChild>
        <w:div w:id="801004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3261887">
              <w:marLeft w:val="0"/>
              <w:marRight w:val="0"/>
              <w:marTop w:val="0"/>
              <w:marBottom w:val="0"/>
              <w:divBdr>
                <w:top w:val="none" w:sz="0" w:space="0" w:color="auto"/>
                <w:left w:val="none" w:sz="0" w:space="0" w:color="auto"/>
                <w:bottom w:val="none" w:sz="0" w:space="0" w:color="auto"/>
                <w:right w:val="none" w:sz="0" w:space="0" w:color="auto"/>
              </w:divBdr>
              <w:divsChild>
                <w:div w:id="40516243">
                  <w:marLeft w:val="0"/>
                  <w:marRight w:val="0"/>
                  <w:marTop w:val="0"/>
                  <w:marBottom w:val="0"/>
                  <w:divBdr>
                    <w:top w:val="none" w:sz="0" w:space="0" w:color="auto"/>
                    <w:left w:val="none" w:sz="0" w:space="0" w:color="auto"/>
                    <w:bottom w:val="none" w:sz="0" w:space="0" w:color="auto"/>
                    <w:right w:val="none" w:sz="0" w:space="0" w:color="auto"/>
                  </w:divBdr>
                  <w:divsChild>
                    <w:div w:id="19400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738847">
      <w:bodyDiv w:val="1"/>
      <w:marLeft w:val="0"/>
      <w:marRight w:val="0"/>
      <w:marTop w:val="0"/>
      <w:marBottom w:val="0"/>
      <w:divBdr>
        <w:top w:val="none" w:sz="0" w:space="0" w:color="auto"/>
        <w:left w:val="none" w:sz="0" w:space="0" w:color="auto"/>
        <w:bottom w:val="none" w:sz="0" w:space="0" w:color="auto"/>
        <w:right w:val="none" w:sz="0" w:space="0" w:color="auto"/>
      </w:divBdr>
    </w:div>
    <w:div w:id="689995181">
      <w:bodyDiv w:val="1"/>
      <w:marLeft w:val="0"/>
      <w:marRight w:val="0"/>
      <w:marTop w:val="0"/>
      <w:marBottom w:val="0"/>
      <w:divBdr>
        <w:top w:val="none" w:sz="0" w:space="0" w:color="auto"/>
        <w:left w:val="none" w:sz="0" w:space="0" w:color="auto"/>
        <w:bottom w:val="none" w:sz="0" w:space="0" w:color="auto"/>
        <w:right w:val="none" w:sz="0" w:space="0" w:color="auto"/>
      </w:divBdr>
    </w:div>
    <w:div w:id="801769083">
      <w:bodyDiv w:val="1"/>
      <w:marLeft w:val="0"/>
      <w:marRight w:val="0"/>
      <w:marTop w:val="0"/>
      <w:marBottom w:val="0"/>
      <w:divBdr>
        <w:top w:val="none" w:sz="0" w:space="0" w:color="auto"/>
        <w:left w:val="none" w:sz="0" w:space="0" w:color="auto"/>
        <w:bottom w:val="none" w:sz="0" w:space="0" w:color="auto"/>
        <w:right w:val="none" w:sz="0" w:space="0" w:color="auto"/>
      </w:divBdr>
    </w:div>
    <w:div w:id="803233013">
      <w:bodyDiv w:val="1"/>
      <w:marLeft w:val="0"/>
      <w:marRight w:val="0"/>
      <w:marTop w:val="0"/>
      <w:marBottom w:val="0"/>
      <w:divBdr>
        <w:top w:val="none" w:sz="0" w:space="0" w:color="auto"/>
        <w:left w:val="none" w:sz="0" w:space="0" w:color="auto"/>
        <w:bottom w:val="none" w:sz="0" w:space="0" w:color="auto"/>
        <w:right w:val="none" w:sz="0" w:space="0" w:color="auto"/>
      </w:divBdr>
    </w:div>
    <w:div w:id="957955820">
      <w:bodyDiv w:val="1"/>
      <w:marLeft w:val="0"/>
      <w:marRight w:val="0"/>
      <w:marTop w:val="0"/>
      <w:marBottom w:val="0"/>
      <w:divBdr>
        <w:top w:val="none" w:sz="0" w:space="0" w:color="auto"/>
        <w:left w:val="none" w:sz="0" w:space="0" w:color="auto"/>
        <w:bottom w:val="none" w:sz="0" w:space="0" w:color="auto"/>
        <w:right w:val="none" w:sz="0" w:space="0" w:color="auto"/>
      </w:divBdr>
    </w:div>
    <w:div w:id="1257246353">
      <w:bodyDiv w:val="1"/>
      <w:marLeft w:val="0"/>
      <w:marRight w:val="0"/>
      <w:marTop w:val="0"/>
      <w:marBottom w:val="0"/>
      <w:divBdr>
        <w:top w:val="none" w:sz="0" w:space="0" w:color="auto"/>
        <w:left w:val="none" w:sz="0" w:space="0" w:color="auto"/>
        <w:bottom w:val="none" w:sz="0" w:space="0" w:color="auto"/>
        <w:right w:val="none" w:sz="0" w:space="0" w:color="auto"/>
      </w:divBdr>
      <w:divsChild>
        <w:div w:id="1043099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305706">
              <w:marLeft w:val="0"/>
              <w:marRight w:val="0"/>
              <w:marTop w:val="0"/>
              <w:marBottom w:val="0"/>
              <w:divBdr>
                <w:top w:val="none" w:sz="0" w:space="0" w:color="auto"/>
                <w:left w:val="none" w:sz="0" w:space="0" w:color="auto"/>
                <w:bottom w:val="none" w:sz="0" w:space="0" w:color="auto"/>
                <w:right w:val="none" w:sz="0" w:space="0" w:color="auto"/>
              </w:divBdr>
              <w:divsChild>
                <w:div w:id="1228690130">
                  <w:marLeft w:val="0"/>
                  <w:marRight w:val="0"/>
                  <w:marTop w:val="0"/>
                  <w:marBottom w:val="0"/>
                  <w:divBdr>
                    <w:top w:val="none" w:sz="0" w:space="0" w:color="auto"/>
                    <w:left w:val="none" w:sz="0" w:space="0" w:color="auto"/>
                    <w:bottom w:val="none" w:sz="0" w:space="0" w:color="auto"/>
                    <w:right w:val="none" w:sz="0" w:space="0" w:color="auto"/>
                  </w:divBdr>
                  <w:divsChild>
                    <w:div w:id="9437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543143">
      <w:bodyDiv w:val="1"/>
      <w:marLeft w:val="0"/>
      <w:marRight w:val="0"/>
      <w:marTop w:val="0"/>
      <w:marBottom w:val="0"/>
      <w:divBdr>
        <w:top w:val="none" w:sz="0" w:space="0" w:color="auto"/>
        <w:left w:val="none" w:sz="0" w:space="0" w:color="auto"/>
        <w:bottom w:val="none" w:sz="0" w:space="0" w:color="auto"/>
        <w:right w:val="none" w:sz="0" w:space="0" w:color="auto"/>
      </w:divBdr>
    </w:div>
    <w:div w:id="1460689408">
      <w:bodyDiv w:val="1"/>
      <w:marLeft w:val="0"/>
      <w:marRight w:val="0"/>
      <w:marTop w:val="0"/>
      <w:marBottom w:val="0"/>
      <w:divBdr>
        <w:top w:val="none" w:sz="0" w:space="0" w:color="auto"/>
        <w:left w:val="none" w:sz="0" w:space="0" w:color="auto"/>
        <w:bottom w:val="none" w:sz="0" w:space="0" w:color="auto"/>
        <w:right w:val="none" w:sz="0" w:space="0" w:color="auto"/>
      </w:divBdr>
    </w:div>
    <w:div w:id="1482961168">
      <w:bodyDiv w:val="1"/>
      <w:marLeft w:val="0"/>
      <w:marRight w:val="0"/>
      <w:marTop w:val="0"/>
      <w:marBottom w:val="0"/>
      <w:divBdr>
        <w:top w:val="none" w:sz="0" w:space="0" w:color="auto"/>
        <w:left w:val="none" w:sz="0" w:space="0" w:color="auto"/>
        <w:bottom w:val="none" w:sz="0" w:space="0" w:color="auto"/>
        <w:right w:val="none" w:sz="0" w:space="0" w:color="auto"/>
      </w:divBdr>
    </w:div>
    <w:div w:id="1639526862">
      <w:bodyDiv w:val="1"/>
      <w:marLeft w:val="0"/>
      <w:marRight w:val="0"/>
      <w:marTop w:val="0"/>
      <w:marBottom w:val="0"/>
      <w:divBdr>
        <w:top w:val="none" w:sz="0" w:space="0" w:color="auto"/>
        <w:left w:val="none" w:sz="0" w:space="0" w:color="auto"/>
        <w:bottom w:val="none" w:sz="0" w:space="0" w:color="auto"/>
        <w:right w:val="none" w:sz="0" w:space="0" w:color="auto"/>
      </w:divBdr>
      <w:divsChild>
        <w:div w:id="1130241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7188063">
              <w:marLeft w:val="0"/>
              <w:marRight w:val="0"/>
              <w:marTop w:val="0"/>
              <w:marBottom w:val="0"/>
              <w:divBdr>
                <w:top w:val="none" w:sz="0" w:space="0" w:color="auto"/>
                <w:left w:val="none" w:sz="0" w:space="0" w:color="auto"/>
                <w:bottom w:val="none" w:sz="0" w:space="0" w:color="auto"/>
                <w:right w:val="none" w:sz="0" w:space="0" w:color="auto"/>
              </w:divBdr>
              <w:divsChild>
                <w:div w:id="1207986909">
                  <w:marLeft w:val="0"/>
                  <w:marRight w:val="0"/>
                  <w:marTop w:val="0"/>
                  <w:marBottom w:val="0"/>
                  <w:divBdr>
                    <w:top w:val="none" w:sz="0" w:space="0" w:color="auto"/>
                    <w:left w:val="none" w:sz="0" w:space="0" w:color="auto"/>
                    <w:bottom w:val="none" w:sz="0" w:space="0" w:color="auto"/>
                    <w:right w:val="none" w:sz="0" w:space="0" w:color="auto"/>
                  </w:divBdr>
                  <w:divsChild>
                    <w:div w:id="132351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422674">
      <w:bodyDiv w:val="1"/>
      <w:marLeft w:val="0"/>
      <w:marRight w:val="0"/>
      <w:marTop w:val="0"/>
      <w:marBottom w:val="0"/>
      <w:divBdr>
        <w:top w:val="none" w:sz="0" w:space="0" w:color="auto"/>
        <w:left w:val="none" w:sz="0" w:space="0" w:color="auto"/>
        <w:bottom w:val="none" w:sz="0" w:space="0" w:color="auto"/>
        <w:right w:val="none" w:sz="0" w:space="0" w:color="auto"/>
      </w:divBdr>
    </w:div>
    <w:div w:id="1820658153">
      <w:bodyDiv w:val="1"/>
      <w:marLeft w:val="0"/>
      <w:marRight w:val="0"/>
      <w:marTop w:val="0"/>
      <w:marBottom w:val="0"/>
      <w:divBdr>
        <w:top w:val="none" w:sz="0" w:space="0" w:color="auto"/>
        <w:left w:val="none" w:sz="0" w:space="0" w:color="auto"/>
        <w:bottom w:val="none" w:sz="0" w:space="0" w:color="auto"/>
        <w:right w:val="none" w:sz="0" w:space="0" w:color="auto"/>
      </w:divBdr>
      <w:divsChild>
        <w:div w:id="91560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562996">
              <w:marLeft w:val="0"/>
              <w:marRight w:val="0"/>
              <w:marTop w:val="0"/>
              <w:marBottom w:val="0"/>
              <w:divBdr>
                <w:top w:val="none" w:sz="0" w:space="0" w:color="auto"/>
                <w:left w:val="none" w:sz="0" w:space="0" w:color="auto"/>
                <w:bottom w:val="none" w:sz="0" w:space="0" w:color="auto"/>
                <w:right w:val="none" w:sz="0" w:space="0" w:color="auto"/>
              </w:divBdr>
              <w:divsChild>
                <w:div w:id="1186598407">
                  <w:marLeft w:val="0"/>
                  <w:marRight w:val="0"/>
                  <w:marTop w:val="0"/>
                  <w:marBottom w:val="0"/>
                  <w:divBdr>
                    <w:top w:val="none" w:sz="0" w:space="0" w:color="auto"/>
                    <w:left w:val="none" w:sz="0" w:space="0" w:color="auto"/>
                    <w:bottom w:val="none" w:sz="0" w:space="0" w:color="auto"/>
                    <w:right w:val="none" w:sz="0" w:space="0" w:color="auto"/>
                  </w:divBdr>
                  <w:divsChild>
                    <w:div w:id="20694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985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unning.com/cunningham_mixtape.pdf" TargetMode="External"/><Relationship Id="rId5" Type="http://schemas.openxmlformats.org/officeDocument/2006/relationships/hyperlink" Target="mailto:kshores@udel.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4640</Words>
  <Characters>26450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31028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Shores</dc:creator>
  <cp:keywords/>
  <dc:description/>
  <cp:lastModifiedBy>Shores, Kenneth</cp:lastModifiedBy>
  <cp:revision>1</cp:revision>
  <cp:lastPrinted>2019-05-24T19:46:00Z</cp:lastPrinted>
  <dcterms:created xsi:type="dcterms:W3CDTF">2024-03-20T10:56:00Z</dcterms:created>
  <dcterms:modified xsi:type="dcterms:W3CDTF">2024-05-23T13:18:00Z</dcterms:modified>
</cp:coreProperties>
</file>